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ind w:right="360"/>
        <w:rPr>
          <w:rFonts w:ascii="Poppins Medium" w:cs="Poppins Medium" w:eastAsia="Poppins Medium" w:hAnsi="Poppins Medium"/>
          <w:color w:val="21233a"/>
          <w:sz w:val="24"/>
          <w:szCs w:val="24"/>
        </w:rPr>
      </w:pPr>
      <w:r w:rsidDel="00000000" w:rsidR="00000000" w:rsidRPr="00000000">
        <w:rPr>
          <w:rtl w:val="0"/>
        </w:rPr>
      </w:r>
    </w:p>
    <w:tbl>
      <w:tblPr>
        <w:tblStyle w:val="Table1"/>
        <w:tblpPr w:leftFromText="180" w:rightFromText="180" w:topFromText="180" w:bottomFromText="180" w:vertAnchor="text" w:horzAnchor="text" w:tblpX="-885" w:tblpY="0"/>
        <w:tblW w:w="11173.333333333336"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95"/>
        <w:gridCol w:w="4380"/>
        <w:gridCol w:w="3598.333333333334"/>
        <w:tblGridChange w:id="0">
          <w:tblGrid>
            <w:gridCol w:w="3195"/>
            <w:gridCol w:w="4380"/>
            <w:gridCol w:w="3598.333333333334"/>
          </w:tblGrid>
        </w:tblGridChange>
      </w:tblGrid>
      <w:tr>
        <w:trPr>
          <w:cantSplit w:val="0"/>
          <w:trHeight w:val="423.00000000000006" w:hRule="atLeast"/>
          <w:tblHeader w:val="1"/>
        </w:trPr>
        <w:tc>
          <w:tcPr>
            <w:gridSpan w:val="3"/>
            <w:shd w:fill="005a36"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02">
            <w:pPr>
              <w:rPr>
                <w:rFonts w:ascii="Poppins Medium" w:cs="Poppins Medium" w:eastAsia="Poppins Medium" w:hAnsi="Poppins Medium"/>
                <w:color w:val="ffffff"/>
                <w:sz w:val="24"/>
                <w:szCs w:val="24"/>
              </w:rPr>
            </w:pPr>
            <w:r w:rsidDel="00000000" w:rsidR="00000000" w:rsidRPr="00000000">
              <w:rPr>
                <w:rFonts w:ascii="Poppins Medium" w:cs="Poppins Medium" w:eastAsia="Poppins Medium" w:hAnsi="Poppins Medium"/>
                <w:color w:val="ffffff"/>
                <w:sz w:val="24"/>
                <w:szCs w:val="24"/>
                <w:rtl w:val="0"/>
              </w:rPr>
              <w:t xml:space="preserve">Tunnikava  “Kuidas mõjutab tehnoloogia kunsti ja loovust?”</w:t>
            </w:r>
          </w:p>
        </w:tc>
      </w:tr>
      <w:tr>
        <w:trPr>
          <w:cantSplit w:val="0"/>
          <w:trHeight w:val="861.0000000000001" w:hRule="atLeast"/>
          <w:tblHeader w:val="1"/>
        </w:trPr>
        <w:tc>
          <w:tcPr>
            <w:gridSpan w:val="3"/>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005">
            <w:pPr>
              <w:pBdr>
                <w:top w:color="000000" w:space="0" w:sz="0" w:val="none"/>
                <w:left w:color="000000" w:space="0" w:sz="0" w:val="none"/>
                <w:bottom w:color="000000" w:space="0" w:sz="0" w:val="none"/>
                <w:right w:color="000000" w:space="0" w:sz="0" w:val="none"/>
              </w:pBdr>
              <w:spacing w:line="240" w:lineRule="auto"/>
              <w:rPr>
                <w:rFonts w:ascii="Poppins" w:cs="Poppins" w:eastAsia="Poppins" w:hAnsi="Poppins"/>
                <w:color w:val="21233a"/>
                <w:sz w:val="20"/>
                <w:szCs w:val="20"/>
              </w:rPr>
            </w:pPr>
            <w:r w:rsidDel="00000000" w:rsidR="00000000" w:rsidRPr="00000000">
              <w:rPr>
                <w:rFonts w:ascii="Poppins" w:cs="Poppins" w:eastAsia="Poppins" w:hAnsi="Poppins"/>
                <w:b w:val="1"/>
                <w:bCs w:val="1"/>
                <w:color w:val="21233a"/>
                <w:sz w:val="20"/>
                <w:szCs w:val="20"/>
                <w:rtl w:val="0"/>
              </w:rPr>
              <w:t xml:space="preserve">TUNNI ÕPIEESMÄRK: </w:t>
            </w:r>
            <w:r w:rsidDel="00000000" w:rsidR="00000000" w:rsidRPr="00000000">
              <w:rPr>
                <w:rFonts w:ascii="Poppins" w:cs="Poppins" w:eastAsia="Poppins" w:hAnsi="Poppins"/>
                <w:color w:val="21233a"/>
                <w:sz w:val="20"/>
                <w:szCs w:val="20"/>
                <w:rtl w:val="0"/>
              </w:rPr>
              <w:t xml:space="preserve">õpilane mõistab, kuidas tehisaru mõjutab loomingut, autoriõigusi ja arusaama loovusest.</w:t>
            </w:r>
          </w:p>
          <w:p w:rsidR="00000000" w:rsidDel="00000000" w:rsidP="00000000" w:rsidRDefault="00000000" w:rsidRPr="00000000" w14:paraId="00000006">
            <w:pPr>
              <w:pBdr>
                <w:top w:color="000000" w:space="0" w:sz="0" w:val="none"/>
                <w:left w:color="000000" w:space="0" w:sz="0" w:val="none"/>
                <w:bottom w:color="000000" w:space="0" w:sz="0" w:val="none"/>
                <w:right w:color="000000" w:space="0" w:sz="0" w:val="none"/>
              </w:pBdr>
              <w:spacing w:line="240" w:lineRule="auto"/>
              <w:rPr>
                <w:rFonts w:ascii="Poppins" w:cs="Poppins" w:eastAsia="Poppins" w:hAnsi="Poppins"/>
                <w:color w:val="21233a"/>
                <w:sz w:val="20"/>
                <w:szCs w:val="20"/>
              </w:rPr>
            </w:pPr>
            <w:r w:rsidDel="00000000" w:rsidR="00000000" w:rsidRPr="00000000">
              <w:rPr>
                <w:rFonts w:ascii="Poppins" w:cs="Poppins" w:eastAsia="Poppins" w:hAnsi="Poppins"/>
                <w:b w:val="1"/>
                <w:bCs w:val="1"/>
                <w:color w:val="21233a"/>
                <w:sz w:val="20"/>
                <w:szCs w:val="20"/>
                <w:rtl w:val="0"/>
              </w:rPr>
              <w:t xml:space="preserve">KLASS:</w:t>
            </w:r>
            <w:r w:rsidDel="00000000" w:rsidR="00000000" w:rsidRPr="00000000">
              <w:rPr>
                <w:rFonts w:ascii="Poppins" w:cs="Poppins" w:eastAsia="Poppins" w:hAnsi="Poppins"/>
                <w:color w:val="21233a"/>
                <w:sz w:val="20"/>
                <w:szCs w:val="20"/>
                <w:rtl w:val="0"/>
              </w:rPr>
              <w:t xml:space="preserve"> 10.–11. klass</w:t>
            </w:r>
          </w:p>
          <w:p w:rsidR="00000000" w:rsidDel="00000000" w:rsidP="00000000" w:rsidRDefault="00000000" w:rsidRPr="00000000" w14:paraId="00000007">
            <w:pPr>
              <w:pBdr>
                <w:top w:color="000000" w:space="0" w:sz="0" w:val="none"/>
                <w:left w:color="000000" w:space="0" w:sz="0" w:val="none"/>
                <w:bottom w:color="000000" w:space="0" w:sz="0" w:val="none"/>
                <w:right w:color="000000" w:space="0" w:sz="0" w:val="none"/>
              </w:pBdr>
              <w:rPr>
                <w:rFonts w:ascii="Poppins" w:cs="Poppins" w:eastAsia="Poppins" w:hAnsi="Poppins"/>
                <w:color w:val="21233a"/>
                <w:sz w:val="20"/>
                <w:szCs w:val="20"/>
              </w:rPr>
            </w:pPr>
            <w:r w:rsidDel="00000000" w:rsidR="00000000" w:rsidRPr="00000000">
              <w:rPr>
                <w:rFonts w:ascii="Poppins" w:cs="Poppins" w:eastAsia="Poppins" w:hAnsi="Poppins"/>
                <w:b w:val="1"/>
                <w:bCs w:val="1"/>
                <w:color w:val="21233a"/>
                <w:sz w:val="20"/>
                <w:szCs w:val="20"/>
                <w:rtl w:val="0"/>
              </w:rPr>
              <w:t xml:space="preserve">KÜLALISÕPETAJA: </w:t>
            </w:r>
            <w:r w:rsidDel="00000000" w:rsidR="00000000" w:rsidRPr="00000000">
              <w:rPr>
                <w:rFonts w:ascii="Poppins" w:cs="Poppins" w:eastAsia="Poppins" w:hAnsi="Poppins"/>
                <w:color w:val="21233a"/>
                <w:sz w:val="20"/>
                <w:szCs w:val="20"/>
                <w:rtl w:val="0"/>
              </w:rPr>
              <w:t xml:space="preserve">Timo Toots, kunstnik ja kunstitalu Maajaam asutaja</w:t>
            </w:r>
          </w:p>
          <w:p w:rsidR="00000000" w:rsidDel="00000000" w:rsidP="00000000" w:rsidRDefault="00000000" w:rsidRPr="00000000" w14:paraId="00000008">
            <w:pPr>
              <w:pBdr>
                <w:top w:color="000000" w:space="0" w:sz="0" w:val="none"/>
                <w:left w:color="000000" w:space="0" w:sz="0" w:val="none"/>
                <w:bottom w:color="000000" w:space="0" w:sz="0" w:val="none"/>
                <w:right w:color="000000" w:space="0" w:sz="0" w:val="none"/>
              </w:pBdr>
              <w:rPr>
                <w:rFonts w:ascii="Poppins" w:cs="Poppins" w:eastAsia="Poppins" w:hAnsi="Poppins"/>
                <w:b w:val="1"/>
                <w:bCs w:val="1"/>
                <w:color w:val="21233a"/>
                <w:sz w:val="20"/>
                <w:szCs w:val="20"/>
              </w:rPr>
            </w:pPr>
            <w:r w:rsidDel="00000000" w:rsidR="00000000" w:rsidRPr="00000000">
              <w:rPr>
                <w:rFonts w:ascii="Poppins" w:cs="Poppins" w:eastAsia="Poppins" w:hAnsi="Poppins"/>
                <w:b w:val="1"/>
                <w:bCs w:val="1"/>
                <w:color w:val="21233a"/>
                <w:sz w:val="20"/>
                <w:szCs w:val="20"/>
                <w:rtl w:val="0"/>
              </w:rPr>
              <w:t xml:space="preserve">SEOS RÕK-iga:</w:t>
            </w:r>
            <w:r w:rsidDel="00000000" w:rsidR="00000000" w:rsidRPr="00000000">
              <w:rPr>
                <w:rFonts w:ascii="Poppins" w:cs="Poppins" w:eastAsia="Poppins" w:hAnsi="Poppins"/>
                <w:color w:val="21233a"/>
                <w:sz w:val="20"/>
                <w:szCs w:val="20"/>
                <w:rtl w:val="0"/>
              </w:rPr>
              <w:t xml:space="preserve"> kultuuripädevus, digipädevus</w:t>
            </w:r>
            <w:r w:rsidDel="00000000" w:rsidR="00000000" w:rsidRPr="00000000">
              <w:rPr>
                <w:rtl w:val="0"/>
              </w:rPr>
            </w:r>
          </w:p>
        </w:tc>
      </w:tr>
      <w:tr>
        <w:trPr>
          <w:cantSplit w:val="0"/>
          <w:trHeight w:val="603" w:hRule="atLeast"/>
          <w:tblHeader w:val="1"/>
        </w:trPr>
        <w:tc>
          <w:tcPr>
            <w:gridSpan w:val="3"/>
            <w:shd w:fill="005a36"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0B">
            <w:pPr>
              <w:jc w:val="center"/>
              <w:rPr>
                <w:rFonts w:ascii="Poppins Medium" w:cs="Poppins Medium" w:eastAsia="Poppins Medium" w:hAnsi="Poppins Medium"/>
                <w:color w:val="ffffff"/>
                <w:sz w:val="18"/>
                <w:szCs w:val="18"/>
              </w:rPr>
            </w:pPr>
            <w:r w:rsidDel="00000000" w:rsidR="00000000" w:rsidRPr="00000000">
              <w:rPr>
                <w:rFonts w:ascii="Poppins Medium" w:cs="Poppins Medium" w:eastAsia="Poppins Medium" w:hAnsi="Poppins Medium"/>
                <w:color w:val="ffffff"/>
                <w:rtl w:val="0"/>
              </w:rPr>
              <w:t xml:space="preserve">Tunni osad</w:t>
            </w:r>
            <w:r w:rsidDel="00000000" w:rsidR="00000000" w:rsidRPr="00000000">
              <w:rPr>
                <w:rtl w:val="0"/>
              </w:rPr>
            </w:r>
          </w:p>
        </w:tc>
      </w:tr>
      <w:tr>
        <w:trPr>
          <w:cantSplit w:val="0"/>
          <w:trHeight w:val="693.3333333333335" w:hRule="atLeast"/>
          <w:tblHeader w:val="1"/>
        </w:trPr>
        <w:tc>
          <w:tcPr>
            <w:shd w:fill="e2d1bf" w:val="clear"/>
            <w:vAlign w:val="center"/>
          </w:tcPr>
          <w:p w:rsidR="00000000" w:rsidDel="00000000" w:rsidP="00000000" w:rsidRDefault="00000000" w:rsidRPr="00000000" w14:paraId="0000000E">
            <w:pPr>
              <w:widowControl w:val="0"/>
              <w:spacing w:line="240" w:lineRule="auto"/>
              <w:jc w:val="center"/>
              <w:rPr>
                <w:rFonts w:ascii="Poppins Medium" w:cs="Poppins Medium" w:eastAsia="Poppins Medium" w:hAnsi="Poppins Medium"/>
                <w:i w:val="1"/>
                <w:iCs w:val="1"/>
                <w:color w:val="21233a"/>
                <w:sz w:val="20"/>
                <w:szCs w:val="20"/>
              </w:rPr>
            </w:pPr>
            <w:r w:rsidDel="00000000" w:rsidR="00000000" w:rsidRPr="00000000">
              <w:rPr>
                <w:rFonts w:ascii="Poppins" w:cs="Poppins" w:eastAsia="Poppins" w:hAnsi="Poppins"/>
                <w:b w:val="1"/>
                <w:bCs w:val="1"/>
                <w:color w:val="21233a"/>
                <w:sz w:val="20"/>
                <w:szCs w:val="20"/>
                <w:rtl w:val="0"/>
              </w:rPr>
              <w:t xml:space="preserve">Häälestus</w:t>
            </w:r>
            <w:r w:rsidDel="00000000" w:rsidR="00000000" w:rsidRPr="00000000">
              <w:rPr>
                <w:rtl w:val="0"/>
              </w:rPr>
            </w:r>
          </w:p>
        </w:tc>
        <w:tc>
          <w:tcPr>
            <w:shd w:fill="e2d1bf" w:val="clear"/>
            <w:vAlign w:val="center"/>
          </w:tcPr>
          <w:p w:rsidR="00000000" w:rsidDel="00000000" w:rsidP="00000000" w:rsidRDefault="00000000" w:rsidRPr="00000000" w14:paraId="0000000F">
            <w:pPr>
              <w:widowControl w:val="0"/>
              <w:spacing w:line="240" w:lineRule="auto"/>
              <w:jc w:val="center"/>
              <w:rPr>
                <w:rFonts w:ascii="Poppins Medium" w:cs="Poppins Medium" w:eastAsia="Poppins Medium" w:hAnsi="Poppins Medium"/>
                <w:i w:val="1"/>
                <w:iCs w:val="1"/>
                <w:color w:val="21233a"/>
                <w:sz w:val="20"/>
                <w:szCs w:val="20"/>
              </w:rPr>
            </w:pPr>
            <w:r w:rsidDel="00000000" w:rsidR="00000000" w:rsidRPr="00000000">
              <w:rPr>
                <w:rFonts w:ascii="Poppins" w:cs="Poppins" w:eastAsia="Poppins" w:hAnsi="Poppins"/>
                <w:b w:val="1"/>
                <w:bCs w:val="1"/>
                <w:color w:val="21233a"/>
                <w:sz w:val="20"/>
                <w:szCs w:val="20"/>
                <w:rtl w:val="0"/>
              </w:rPr>
              <w:t xml:space="preserve">Video vaatamine</w:t>
            </w:r>
            <w:r w:rsidDel="00000000" w:rsidR="00000000" w:rsidRPr="00000000">
              <w:rPr>
                <w:rtl w:val="0"/>
              </w:rPr>
            </w:r>
          </w:p>
        </w:tc>
        <w:tc>
          <w:tcPr>
            <w:shd w:fill="e2d1bf" w:val="clear"/>
            <w:vAlign w:val="center"/>
          </w:tcPr>
          <w:p w:rsidR="00000000" w:rsidDel="00000000" w:rsidP="00000000" w:rsidRDefault="00000000" w:rsidRPr="00000000" w14:paraId="00000010">
            <w:pPr>
              <w:widowControl w:val="0"/>
              <w:spacing w:line="240" w:lineRule="auto"/>
              <w:jc w:val="center"/>
              <w:rPr>
                <w:rFonts w:ascii="Poppins Medium" w:cs="Poppins Medium" w:eastAsia="Poppins Medium" w:hAnsi="Poppins Medium"/>
                <w:i w:val="1"/>
                <w:iCs w:val="1"/>
                <w:color w:val="21233a"/>
                <w:sz w:val="20"/>
                <w:szCs w:val="20"/>
              </w:rPr>
            </w:pPr>
            <w:r w:rsidDel="00000000" w:rsidR="00000000" w:rsidRPr="00000000">
              <w:rPr>
                <w:rFonts w:ascii="Poppins" w:cs="Poppins" w:eastAsia="Poppins" w:hAnsi="Poppins"/>
                <w:b w:val="1"/>
                <w:bCs w:val="1"/>
                <w:color w:val="21233a"/>
                <w:sz w:val="20"/>
                <w:szCs w:val="20"/>
                <w:rtl w:val="0"/>
              </w:rPr>
              <w:t xml:space="preserve">Õpilaste iseseisev töö </w:t>
            </w:r>
            <w:r w:rsidDel="00000000" w:rsidR="00000000" w:rsidRPr="00000000">
              <w:rPr>
                <w:rtl w:val="0"/>
              </w:rPr>
            </w:r>
          </w:p>
        </w:tc>
      </w:tr>
      <w:tr>
        <w:trPr>
          <w:cantSplit w:val="0"/>
          <w:trHeight w:val="420" w:hRule="atLeast"/>
          <w:tblHeader w:val="1"/>
        </w:trPr>
        <w:tc>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1"/>
                <w:bCs w:val="1"/>
                <w:color w:val="cd89ff"/>
                <w:sz w:val="18"/>
                <w:szCs w:val="18"/>
              </w:rPr>
            </w:pPr>
            <w:r w:rsidDel="00000000" w:rsidR="00000000" w:rsidRPr="00000000">
              <w:rPr>
                <w:rFonts w:ascii="Poppins" w:cs="Poppins" w:eastAsia="Poppins" w:hAnsi="Poppins"/>
                <w:b w:val="1"/>
                <w:bCs w:val="1"/>
                <w:color w:val="cd89ff"/>
                <w:sz w:val="18"/>
                <w:szCs w:val="18"/>
                <w:rtl w:val="0"/>
              </w:rPr>
              <w:t xml:space="preserve">Tunni teema taust:</w:t>
            </w:r>
          </w:p>
        </w:tc>
        <w:tc>
          <w:tcPr>
            <w:gridSpan w:val="2"/>
            <w:shd w:fill="ffffff" w:val="clear"/>
          </w:tcPr>
          <w:p w:rsidR="00000000" w:rsidDel="00000000" w:rsidP="00000000" w:rsidRDefault="00000000" w:rsidRPr="00000000" w14:paraId="00000012">
            <w:pPr>
              <w:pBdr>
                <w:top w:color="000000" w:space="0" w:sz="0" w:val="none"/>
                <w:bottom w:color="000000" w:space="0" w:sz="0" w:val="none"/>
                <w:right w:color="000000" w:space="0" w:sz="0" w:val="none"/>
                <w:between w:color="000000" w:space="0" w:sz="0" w:val="none"/>
              </w:pBdr>
              <w:spacing w:line="216" w:lineRule="auto"/>
              <w:jc w:val="both"/>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Kunst on dialoog inimeste vahel. Sellega saame me teistele anda teada, millest me mõtleme, mida tunneme ja kuidas meie maailmast aru saame. Igasugust tehnoloogiat, sealhulgas tehisaru, võib vaadata kui savi, mida saab endale sobivaks vormida ja oma teose kasuks tööle panna. </w:t>
            </w:r>
          </w:p>
          <w:p w:rsidR="00000000" w:rsidDel="00000000" w:rsidP="00000000" w:rsidRDefault="00000000" w:rsidRPr="00000000" w14:paraId="00000013">
            <w:pPr>
              <w:pBdr>
                <w:top w:color="000000" w:space="0" w:sz="0" w:val="none"/>
                <w:bottom w:color="000000" w:space="0" w:sz="0" w:val="none"/>
                <w:right w:color="000000" w:space="0" w:sz="0" w:val="none"/>
                <w:between w:color="000000" w:space="0" w:sz="0" w:val="none"/>
              </w:pBdr>
              <w:spacing w:line="216" w:lineRule="auto"/>
              <w:jc w:val="both"/>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Külas on kunstnik Timo Toots, kellega arutame, kuidas tehisaru mõjutab kunstnikke, autoriõigusi ja meie arusaama loovusest.</w:t>
            </w:r>
          </w:p>
        </w:tc>
      </w:tr>
      <w:tr>
        <w:trPr>
          <w:cantSplit w:val="0"/>
          <w:trHeight w:val="400" w:hRule="atLeast"/>
          <w:tblHeader w:val="1"/>
        </w:trPr>
        <w:tc>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1"/>
                <w:bCs w:val="1"/>
                <w:color w:val="cd89ff"/>
                <w:sz w:val="20"/>
                <w:szCs w:val="20"/>
              </w:rPr>
            </w:pPr>
            <w:r w:rsidDel="00000000" w:rsidR="00000000" w:rsidRPr="00000000">
              <w:rPr>
                <w:rFonts w:ascii="Poppins" w:cs="Poppins" w:eastAsia="Poppins" w:hAnsi="Poppins"/>
                <w:b w:val="1"/>
                <w:bCs w:val="1"/>
                <w:color w:val="cd89ff"/>
                <w:sz w:val="18"/>
                <w:szCs w:val="18"/>
                <w:rtl w:val="0"/>
              </w:rPr>
              <w:t xml:space="preserve">Häälestus:</w:t>
            </w:r>
            <w:r w:rsidDel="00000000" w:rsidR="00000000" w:rsidRPr="00000000">
              <w:rPr>
                <w:rtl w:val="0"/>
              </w:rPr>
            </w:r>
          </w:p>
        </w:tc>
        <w:tc>
          <w:tcPr>
            <w:gridSpan w:val="2"/>
            <w:shd w:fill="ffffff" w:val="clear"/>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Arutlege klassis kahe küsimuse üle: </w:t>
            </w:r>
          </w:p>
          <w:p w:rsidR="00000000" w:rsidDel="00000000" w:rsidP="00000000" w:rsidRDefault="00000000" w:rsidRPr="00000000" w14:paraId="00000017">
            <w:pPr>
              <w:pBdr>
                <w:top w:color="000000" w:space="0" w:sz="0" w:val="none"/>
                <w:left w:color="000000" w:space="0" w:sz="0" w:val="none"/>
                <w:bottom w:color="000000" w:space="0" w:sz="0" w:val="none"/>
                <w:right w:color="000000" w:space="0" w:sz="0" w:val="none"/>
                <w:between w:color="000000" w:space="0" w:sz="0" w:val="none"/>
              </w:pBdr>
              <w:shd w:fill="ffffff" w:val="clear"/>
              <w:spacing w:line="216" w:lineRule="auto"/>
              <w:jc w:val="both"/>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1) Kuidas võib tehisaru areng mõjutada kunsti väärtust, kas see pigem langeb või tõuseb?</w:t>
            </w:r>
          </w:p>
          <w:p w:rsidR="00000000" w:rsidDel="00000000" w:rsidP="00000000" w:rsidRDefault="00000000" w:rsidRPr="00000000" w14:paraId="00000018">
            <w:pPr>
              <w:pBdr>
                <w:top w:color="000000" w:space="0" w:sz="0" w:val="none"/>
                <w:left w:color="000000" w:space="0" w:sz="0" w:val="none"/>
                <w:bottom w:color="000000" w:space="0" w:sz="0" w:val="none"/>
                <w:right w:color="000000" w:space="0" w:sz="0" w:val="none"/>
                <w:between w:color="000000" w:space="0" w:sz="0" w:val="none"/>
              </w:pBdr>
              <w:shd w:fill="ffffff" w:val="clear"/>
              <w:spacing w:line="216" w:lineRule="auto"/>
              <w:jc w:val="both"/>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2) Kas publik võib tulevikus eelistada tehisaru loodud kunsti inimeste loodud kunstile?</w:t>
            </w:r>
          </w:p>
        </w:tc>
      </w:tr>
      <w:tr>
        <w:trPr>
          <w:cantSplit w:val="0"/>
          <w:trHeight w:val="1283.333333333333" w:hRule="atLeast"/>
          <w:tblHeader w:val="1"/>
        </w:trPr>
        <w:tc>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1"/>
                <w:bCs w:val="1"/>
                <w:color w:val="cd89ff"/>
                <w:sz w:val="20"/>
                <w:szCs w:val="20"/>
              </w:rPr>
            </w:pPr>
            <w:r w:rsidDel="00000000" w:rsidR="00000000" w:rsidRPr="00000000">
              <w:rPr>
                <w:rFonts w:ascii="Poppins" w:cs="Poppins" w:eastAsia="Poppins" w:hAnsi="Poppins"/>
                <w:b w:val="1"/>
                <w:bCs w:val="1"/>
                <w:color w:val="cd89ff"/>
                <w:sz w:val="18"/>
                <w:szCs w:val="18"/>
                <w:rtl w:val="0"/>
              </w:rPr>
              <w:t xml:space="preserve">Õpilaste iseseisev töö:</w:t>
            </w:r>
            <w:r w:rsidDel="00000000" w:rsidR="00000000" w:rsidRPr="00000000">
              <w:rPr>
                <w:rtl w:val="0"/>
              </w:rPr>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1"/>
                <w:bCs w:val="1"/>
                <w:color w:val="21233a"/>
                <w:sz w:val="20"/>
                <w:szCs w:val="20"/>
              </w:rPr>
            </w:pPr>
            <w:r w:rsidDel="00000000" w:rsidR="00000000" w:rsidRPr="00000000">
              <w:rPr>
                <w:rtl w:val="0"/>
              </w:rPr>
            </w:r>
          </w:p>
        </w:tc>
        <w:tc>
          <w:tcPr>
            <w:gridSpan w:val="2"/>
            <w:shd w:fill="ffffff" w:val="clear"/>
          </w:tcPr>
          <w:p w:rsidR="00000000" w:rsidDel="00000000" w:rsidP="00000000" w:rsidRDefault="00000000" w:rsidRPr="00000000" w14:paraId="0000001C">
            <w:pPr>
              <w:widowControl w:val="1"/>
              <w:spacing w:before="0" w:line="240" w:lineRule="auto"/>
              <w:ind w:left="0" w:firstLine="0"/>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Õpilastel tuleb 3–4-liikmelistes rühmades luua kunstiteose kavand. Kavandis peab olema teose teema ja idee,</w:t>
            </w:r>
            <w:r w:rsidDel="00000000" w:rsidR="00000000" w:rsidRPr="00000000">
              <w:rPr>
                <w:rFonts w:ascii="Poppins" w:cs="Poppins" w:eastAsia="Poppins" w:hAnsi="Poppins"/>
                <w:color w:val="36364a"/>
                <w:rtl w:val="0"/>
              </w:rPr>
              <w:t xml:space="preserve"> </w:t>
            </w:r>
            <w:r w:rsidDel="00000000" w:rsidR="00000000" w:rsidRPr="00000000">
              <w:rPr>
                <w:rFonts w:ascii="Poppins" w:cs="Poppins" w:eastAsia="Poppins" w:hAnsi="Poppins"/>
                <w:color w:val="21233a"/>
                <w:sz w:val="18"/>
                <w:szCs w:val="18"/>
                <w:rtl w:val="0"/>
              </w:rPr>
              <w:t xml:space="preserve">valitud kunstivorm (nt pilt, video, installatsioon vms), kuidas tehisaru on ideede või kunstiteose loomiseks kasutatud, lihtne visand või kirjeldus kunstiteosest (selleks võib kasutada tehisaru).</w:t>
            </w:r>
          </w:p>
          <w:p w:rsidR="00000000" w:rsidDel="00000000" w:rsidP="00000000" w:rsidRDefault="00000000" w:rsidRPr="00000000" w14:paraId="0000001D">
            <w:pPr>
              <w:widowControl w:val="1"/>
              <w:spacing w:before="0" w:line="240" w:lineRule="auto"/>
              <w:ind w:left="0" w:firstLine="0"/>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Laske kõikidel rühmadel oma ideid tutvustada. Arutage, miks iga rühm otsustas tehisaru just sel moel oma teoses kasutada. </w:t>
            </w:r>
          </w:p>
        </w:tc>
      </w:tr>
    </w:tbl>
    <w:p w:rsidR="00000000" w:rsidDel="00000000" w:rsidP="00000000" w:rsidRDefault="00000000" w:rsidRPr="00000000" w14:paraId="0000001F">
      <w:pPr>
        <w:spacing w:line="240" w:lineRule="auto"/>
        <w:ind w:left="-810" w:firstLine="0"/>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 Tunnikava on loodud selleks, et pakkuda õpetajatele välja erinevaid variante õpilaste aktiivseks kaasamiseks tunni teemasse. Tunnikava ei pea tingimata kasutama.</w:t>
      </w:r>
    </w:p>
    <w:sectPr>
      <w:headerReference r:id="rId7" w:type="default"/>
      <w:footerReference r:id="rId8" w:type="default"/>
      <w:pgSz w:h="15840" w:w="12240" w:orient="portrait"/>
      <w:pgMar w:bottom="1440.0000000000002" w:top="1440"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Medium">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ind w:right="360"/>
      <w:rPr>
        <w:rFonts w:ascii="Poppins Medium" w:cs="Poppins Medium" w:eastAsia="Poppins Medium" w:hAnsi="Poppins Medium"/>
        <w:color w:val="21233a"/>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3942213</wp:posOffset>
          </wp:positionH>
          <wp:positionV relativeFrom="paragraph">
            <wp:posOffset>-133342</wp:posOffset>
          </wp:positionV>
          <wp:extent cx="1214438" cy="404813"/>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14438" cy="404813"/>
                  </a:xfrm>
                  <a:prstGeom prst="rect"/>
                  <a:ln/>
                </pic:spPr>
              </pic:pic>
            </a:graphicData>
          </a:graphic>
        </wp:anchor>
      </w:drawing>
    </w:r>
  </w:p>
  <w:p w:rsidR="00000000" w:rsidDel="00000000" w:rsidP="00000000" w:rsidRDefault="00000000" w:rsidRPr="00000000" w14:paraId="00000021">
    <w:pPr>
      <w:rPr/>
    </w:pPr>
    <w:r w:rsidDel="00000000" w:rsidR="00000000" w:rsidRPr="00000000">
      <w:rPr/>
      <w:pict>
        <v:shape id="WordPictureWatermark1" style="position:absolute;width:113.33952755905511pt;height:60.75pt;rotation:0;z-index:-503316481;mso-position-horizontal-relative:margin;mso-position-horizontal:absolute;margin-left:406.4104724409449pt;mso-position-vertical-relative:margin;mso-position-vertical:absolute;margin-top:-60.75pt;" alt="" type="#_x0000_t75">
          <v:imagedata cropbottom="0f" cropleft="0f" cropright="0f" croptop="0f" r:id="rId2" o:title="image2.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PoppinsMedium-regular.ttf"/><Relationship Id="rId6" Type="http://schemas.openxmlformats.org/officeDocument/2006/relationships/font" Target="fonts/PoppinsMedium-bold.ttf"/><Relationship Id="rId7" Type="http://schemas.openxmlformats.org/officeDocument/2006/relationships/font" Target="fonts/PoppinsMedium-italic.ttf"/><Relationship Id="rId8" Type="http://schemas.openxmlformats.org/officeDocument/2006/relationships/font" Target="fonts/PoppinsMedium-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5kz7gEb71z18ivEJnT8s6tBSSw==">CgMxLjA4AHIhMUwzZ0w0NU14XzdBaXRKU210V1hDNE5TZFlKT1RfTzdN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