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“Miks ja kuidas õppida tehisaru ajastul?”</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rPr>
                <w:rFonts w:ascii="Poppins" w:cs="Poppins" w:eastAsia="Poppins" w:hAnsi="Poppins"/>
                <w:color w:val="21233a"/>
                <w:sz w:val="18"/>
                <w:szCs w:val="18"/>
              </w:rPr>
            </w:pPr>
            <w:r w:rsidDel="00000000" w:rsidR="00000000" w:rsidRPr="00000000">
              <w:rPr>
                <w:rFonts w:ascii="Poppins" w:cs="Poppins" w:eastAsia="Poppins" w:hAnsi="Poppins"/>
                <w:b w:val="1"/>
                <w:bCs w:val="1"/>
                <w:color w:val="21233a"/>
                <w:sz w:val="18"/>
                <w:szCs w:val="18"/>
                <w:rtl w:val="0"/>
              </w:rPr>
              <w:t xml:space="preserve">TUNNI ÕPIEESMÄRK: </w:t>
            </w:r>
            <w:r w:rsidDel="00000000" w:rsidR="00000000" w:rsidRPr="00000000">
              <w:rPr>
                <w:rFonts w:ascii="Poppins" w:cs="Poppins" w:eastAsia="Poppins" w:hAnsi="Poppins"/>
                <w:color w:val="21233a"/>
                <w:sz w:val="18"/>
                <w:szCs w:val="18"/>
                <w:rtl w:val="0"/>
              </w:rPr>
              <w:t xml:space="preserve">õpilane mõistab, mida tähendab õppimine ja miks tasub tehisaru kasutada kui treenerit, mitte teenrit. </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16"/>
                <w:szCs w:val="16"/>
                <w:highlight w:val="white"/>
              </w:rPr>
            </w:pPr>
            <w:r w:rsidDel="00000000" w:rsidR="00000000" w:rsidRPr="00000000">
              <w:rPr>
                <w:rFonts w:ascii="Poppins" w:cs="Poppins" w:eastAsia="Poppins" w:hAnsi="Poppins"/>
                <w:b w:val="1"/>
                <w:bCs w:val="1"/>
                <w:color w:val="21233a"/>
                <w:sz w:val="18"/>
                <w:szCs w:val="18"/>
                <w:rtl w:val="0"/>
              </w:rPr>
              <w:t xml:space="preserve">KLASS:</w:t>
            </w:r>
            <w:r w:rsidDel="00000000" w:rsidR="00000000" w:rsidRPr="00000000">
              <w:rPr>
                <w:rFonts w:ascii="Poppins" w:cs="Poppins" w:eastAsia="Poppins" w:hAnsi="Poppins"/>
                <w:color w:val="21233a"/>
                <w:sz w:val="18"/>
                <w:szCs w:val="18"/>
                <w:rtl w:val="0"/>
              </w:rPr>
              <w:t xml:space="preserve"> 10.–11. klass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9">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C">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D">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0">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 kasutamine hariduses on viimastel aastatel kiiresti kasvanud. Kuid nagu uute asjade puhul ikka, tuleb ka tehisaru õppida esmalt kasutama. Tehisaru kasutamine eeldab õpilaselt kriitilist meelt ja arusaama, et igaüks meist õpib enda jaoks. Väga oluline on see, et õpilane mõistaks, et tehisaru on abivahend, mitte miski, mis asendab õppija enda pingutust.</w:t>
            </w:r>
          </w:p>
        </w:tc>
      </w:tr>
      <w:tr>
        <w:trPr>
          <w:cantSplit w:val="0"/>
          <w:trHeight w:val="400" w:hRule="atLeast"/>
          <w:tblHeader w:val="1"/>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Lugege õpilastele ette </w:t>
            </w:r>
            <w:r w:rsidDel="00000000" w:rsidR="00000000" w:rsidRPr="00000000">
              <w:rPr>
                <w:rFonts w:ascii="Poppins" w:cs="Poppins" w:eastAsia="Poppins" w:hAnsi="Poppins"/>
                <w:i w:val="1"/>
                <w:iCs w:val="1"/>
                <w:color w:val="21233a"/>
                <w:sz w:val="18"/>
                <w:szCs w:val="18"/>
                <w:rtl w:val="0"/>
              </w:rPr>
              <w:t xml:space="preserve">kas</w:t>
            </w:r>
            <w:r w:rsidDel="00000000" w:rsidR="00000000" w:rsidRPr="00000000">
              <w:rPr>
                <w:rFonts w:ascii="Poppins" w:cs="Poppins" w:eastAsia="Poppins" w:hAnsi="Poppins"/>
                <w:color w:val="21233a"/>
                <w:sz w:val="18"/>
                <w:szCs w:val="18"/>
                <w:rtl w:val="0"/>
              </w:rPr>
              <w:t xml:space="preserve">-küsimusi tehisaru kohta. Õpilased peavad vastavalt oma vastusele reageerima. Võib näiteks kujutada, et üks klassiruumi ots on nendele, kes vastavad jaatavalt ja teine pool klassi neile, kes vastaksid ei. Võib ka mõelda mingeid muid liigutamist kaasavaid võtteid, mis eristaks kahte erinevat vastust. Rõhutage, et valesid vastuseid ei ole, vaid et küsimused põhinevad nende enda arvamusel.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Väited: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Kas oled tehisaru õppimiseks kasutanud?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Kas tehisaru aitab õppimist lihtsamaks muuta?</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Kas võiks olla lubatud lasta tehisarul mõni ülesanne täielikult sinu eest ära teha?</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Kas sa usaldad kõiki tehisaru antud vastuseid?</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5) Kas tehisaru kasutamine nõuab kriitilist mõtlemist?</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6) Kas tehisaru kasutamine võib parandada sinu loovust?</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7) Kas tehisaru areng võib muuta osa kooliaineid tulevikus üleliigseks?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8) Kas tehisaruga ülesannete lahendamine õpetab sind mõtlema?</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Arutage üheskoos, kuidas on tehisaru muutnud õppimist ja kas õppimine on muutunud seeläbi ka tõhusamaks? </w:t>
            </w:r>
            <w:r w:rsidDel="00000000" w:rsidR="00000000" w:rsidRPr="00000000">
              <w:rPr>
                <w:rtl w:val="0"/>
              </w:rPr>
            </w:r>
          </w:p>
        </w:tc>
      </w:tr>
      <w:tr>
        <w:trPr>
          <w:cantSplit w:val="0"/>
          <w:trHeight w:val="1283.333333333333" w:hRule="atLeast"/>
          <w:tblHeader w:val="1"/>
        </w:trPr>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21">
            <w:pPr>
              <w:widowControl w:val="0"/>
              <w:spacing w:line="216"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Õpilastel tuleb tuua 2 näiteid, kuidas tehisaru kasutamine on õppimist toetav ja 2 näidet, kuidas ta ei ole toetav. Nt aitab mõtteid genereerida, kui on vaja mingit kirjalikku tööd teha (mitte segi ajada sellega, et kirjutab laused valmis, vaid märksõnade tasandil). Saab sulle ülesande ümber sõnastada, kui selles on midagi sellist, millest aru ei saa. Ei ole toetav see, kui näiteks pead kirjutama referaadi, söödad talle pealkirja ette ja lased kogu teksti valmis teha. Abi ei ole ka siis, kui sul on kindlaid fakte vaja, nt mõne kohustusliku kirjanduse teose kohta sealt usaldusväärset infot tavaliselt ei saa. </w:t>
            </w:r>
          </w:p>
          <w:p w:rsidR="00000000" w:rsidDel="00000000" w:rsidP="00000000" w:rsidRDefault="00000000" w:rsidRPr="00000000" w14:paraId="00000022">
            <w:pPr>
              <w:widowControl w:val="0"/>
              <w:spacing w:line="216"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Õpilastel tuleb arutleda, miks on oluline ise õppida. </w:t>
            </w:r>
          </w:p>
          <w:p w:rsidR="00000000" w:rsidDel="00000000" w:rsidP="00000000" w:rsidRDefault="00000000" w:rsidRPr="00000000" w14:paraId="00000023">
            <w:pPr>
              <w:widowControl w:val="0"/>
              <w:spacing w:line="216"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Õpilased peavad mõtlema ühele õppeainele, mis neile eriti ei meeldi, ja tooma välja, miks vaatamata sellele on oluline seda õppida. </w:t>
            </w:r>
          </w:p>
          <w:p w:rsidR="00000000" w:rsidDel="00000000" w:rsidP="00000000" w:rsidRDefault="00000000" w:rsidRPr="00000000" w14:paraId="00000024">
            <w:pPr>
              <w:widowControl w:val="0"/>
              <w:spacing w:line="216"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Õpilasel tuleb mõelda mõnele hiljutisele koolitööle ja kirjutada üks prompt (viip), mis toetaks õppimist, mitte ei teeks seda tema eest ära. </w:t>
            </w:r>
          </w:p>
          <w:p w:rsidR="00000000" w:rsidDel="00000000" w:rsidP="00000000" w:rsidRDefault="00000000" w:rsidRPr="00000000" w14:paraId="00000025">
            <w:pPr>
              <w:widowControl w:val="0"/>
              <w:spacing w:line="216"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5. Arutelu rühmades, kus igaüks toob välja, mida tema hakkab edaspidi tegema, et enda õppimist tehisaruga toetada. </w:t>
            </w:r>
          </w:p>
        </w:tc>
      </w:tr>
    </w:tbl>
    <w:p w:rsidR="00000000" w:rsidDel="00000000" w:rsidP="00000000" w:rsidRDefault="00000000" w:rsidRPr="00000000" w14:paraId="00000027">
      <w:pPr>
        <w:spacing w:line="240" w:lineRule="auto"/>
        <w:ind w:left="-810" w:firstLine="0"/>
        <w:rPr>
          <w:sz w:val="12"/>
          <w:szCs w:val="12"/>
        </w:rPr>
      </w:pPr>
      <w:r w:rsidDel="00000000" w:rsidR="00000000" w:rsidRPr="00000000">
        <w:rPr>
          <w:rFonts w:ascii="Poppins" w:cs="Poppins" w:eastAsia="Poppins" w:hAnsi="Poppins"/>
          <w:color w:val="21233a"/>
          <w:sz w:val="12"/>
          <w:szCs w:val="12"/>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-133348</wp:posOffset>
          </wp:positionV>
          <wp:extent cx="1214438" cy="40481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9">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gvH/3icMqwyUB2TJnbH9Ql+T2A==">CgMxLjA4AGomChRzdWdnZXN0LnQ4c3BneTZ1eHJ3NxIOS3Jpc3RpaW5hIFBvbGxyITFVUVZTN0FReVRfTkJ4aGlrbGtvdEVCV3hyczV2eUhIOQ==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