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ind w:right="360"/>
        <w:rPr>
          <w:rFonts w:ascii="Poppins Medium" w:cs="Poppins Medium" w:eastAsia="Poppins Medium" w:hAnsi="Poppins Medium"/>
          <w:color w:val="21233a"/>
          <w:sz w:val="24"/>
          <w:szCs w:val="24"/>
        </w:rPr>
      </w:pPr>
      <w:r w:rsidDel="00000000" w:rsidR="00000000" w:rsidRPr="00000000">
        <w:rPr>
          <w:rtl w:val="0"/>
        </w:rPr>
      </w:r>
    </w:p>
    <w:tbl>
      <w:tblPr>
        <w:tblStyle w:val="Table1"/>
        <w:tblpPr w:leftFromText="180" w:rightFromText="180" w:topFromText="180" w:bottomFromText="180" w:vertAnchor="text" w:horzAnchor="text" w:tblpX="-885" w:tblpY="0"/>
        <w:tblW w:w="11173.333333333336"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95"/>
        <w:gridCol w:w="4380"/>
        <w:gridCol w:w="3598.333333333334"/>
        <w:tblGridChange w:id="0">
          <w:tblGrid>
            <w:gridCol w:w="3195"/>
            <w:gridCol w:w="4380"/>
            <w:gridCol w:w="3598.333333333334"/>
          </w:tblGrid>
        </w:tblGridChange>
      </w:tblGrid>
      <w:tr>
        <w:trPr>
          <w:cantSplit w:val="0"/>
          <w:trHeight w:val="423.00000000000006" w:hRule="atLeast"/>
          <w:tblHeader w:val="1"/>
        </w:trPr>
        <w:tc>
          <w:tcPr>
            <w:gridSpan w:val="3"/>
            <w:shd w:fill="005a36" w:val="clear"/>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002">
            <w:pPr>
              <w:rPr>
                <w:rFonts w:ascii="Poppins Medium" w:cs="Poppins Medium" w:eastAsia="Poppins Medium" w:hAnsi="Poppins Medium"/>
                <w:color w:val="ffffff"/>
                <w:sz w:val="24"/>
                <w:szCs w:val="24"/>
              </w:rPr>
            </w:pPr>
            <w:r w:rsidDel="00000000" w:rsidR="00000000" w:rsidRPr="00000000">
              <w:rPr>
                <w:rFonts w:ascii="Poppins Medium" w:cs="Poppins Medium" w:eastAsia="Poppins Medium" w:hAnsi="Poppins Medium"/>
                <w:color w:val="ffffff"/>
                <w:sz w:val="24"/>
                <w:szCs w:val="24"/>
                <w:rtl w:val="0"/>
              </w:rPr>
              <w:t xml:space="preserve">Tunnikava “ Kas tehisaru on inimesest parem muusik? ”</w:t>
            </w:r>
          </w:p>
        </w:tc>
      </w:tr>
      <w:tr>
        <w:trPr>
          <w:cantSplit w:val="0"/>
          <w:trHeight w:val="861.0000000000001" w:hRule="atLeast"/>
          <w:tblHeader w:val="1"/>
        </w:trPr>
        <w:tc>
          <w:tcPr>
            <w:gridSpan w:val="3"/>
            <w:tcMar>
              <w:top w:w="213.16535433070868" w:type="dxa"/>
              <w:left w:w="213.16535433070868" w:type="dxa"/>
              <w:bottom w:w="213.16535433070868" w:type="dxa"/>
              <w:right w:w="213.16535433070868" w:type="dxa"/>
            </w:tcMar>
            <w:vAlign w:val="center"/>
          </w:tcPr>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pBdr>
              <w:spacing w:line="240" w:lineRule="auto"/>
              <w:rPr>
                <w:rFonts w:ascii="Poppins" w:cs="Poppins" w:eastAsia="Poppins" w:hAnsi="Poppins"/>
                <w:color w:val="21233a"/>
                <w:sz w:val="20"/>
                <w:szCs w:val="20"/>
              </w:rPr>
            </w:pPr>
            <w:r w:rsidDel="00000000" w:rsidR="00000000" w:rsidRPr="00000000">
              <w:rPr>
                <w:rFonts w:ascii="Poppins" w:cs="Poppins" w:eastAsia="Poppins" w:hAnsi="Poppins"/>
                <w:b w:val="1"/>
                <w:bCs w:val="1"/>
                <w:color w:val="21233a"/>
                <w:sz w:val="20"/>
                <w:szCs w:val="20"/>
                <w:rtl w:val="0"/>
              </w:rPr>
              <w:t xml:space="preserve">TUNNI ÕPIEESMÄRK: </w:t>
            </w:r>
            <w:r w:rsidDel="00000000" w:rsidR="00000000" w:rsidRPr="00000000">
              <w:rPr>
                <w:rFonts w:ascii="Poppins" w:cs="Poppins" w:eastAsia="Poppins" w:hAnsi="Poppins"/>
                <w:color w:val="21233a"/>
                <w:sz w:val="20"/>
                <w:szCs w:val="20"/>
                <w:rtl w:val="0"/>
              </w:rPr>
              <w:t xml:space="preserve">õpilased mõistavad, kuidas tehisaru mõjutab erinevaid elukutseid ja oskusi, oskavad analüüsida tehisaru rolli ja teha teadlikke otsuseid oma tulevikuoskuste arendamisel.</w:t>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pBdr>
              <w:rPr>
                <w:rFonts w:ascii="Poppins" w:cs="Poppins" w:eastAsia="Poppins" w:hAnsi="Poppins"/>
                <w:color w:val="21233a"/>
                <w:sz w:val="20"/>
                <w:szCs w:val="20"/>
              </w:rPr>
            </w:pPr>
            <w:r w:rsidDel="00000000" w:rsidR="00000000" w:rsidRPr="00000000">
              <w:rPr>
                <w:rFonts w:ascii="Poppins" w:cs="Poppins" w:eastAsia="Poppins" w:hAnsi="Poppins"/>
                <w:b w:val="1"/>
                <w:bCs w:val="1"/>
                <w:color w:val="21233a"/>
                <w:sz w:val="20"/>
                <w:szCs w:val="20"/>
                <w:rtl w:val="0"/>
              </w:rPr>
              <w:t xml:space="preserve">KLASS:</w:t>
            </w:r>
            <w:r w:rsidDel="00000000" w:rsidR="00000000" w:rsidRPr="00000000">
              <w:rPr>
                <w:rFonts w:ascii="Poppins" w:cs="Poppins" w:eastAsia="Poppins" w:hAnsi="Poppins"/>
                <w:color w:val="21233a"/>
                <w:sz w:val="20"/>
                <w:szCs w:val="20"/>
                <w:rtl w:val="0"/>
              </w:rPr>
              <w:t xml:space="preserve"> 10.–11. klass</w:t>
            </w:r>
          </w:p>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pBdr>
              <w:rPr>
                <w:rFonts w:ascii="Poppins" w:cs="Poppins" w:eastAsia="Poppins" w:hAnsi="Poppins"/>
                <w:color w:val="21233a"/>
                <w:sz w:val="20"/>
                <w:szCs w:val="20"/>
              </w:rPr>
            </w:pPr>
            <w:r w:rsidDel="00000000" w:rsidR="00000000" w:rsidRPr="00000000">
              <w:rPr>
                <w:rFonts w:ascii="Poppins" w:cs="Poppins" w:eastAsia="Poppins" w:hAnsi="Poppins"/>
                <w:b w:val="1"/>
                <w:bCs w:val="1"/>
                <w:color w:val="21233a"/>
                <w:sz w:val="20"/>
                <w:szCs w:val="20"/>
                <w:rtl w:val="0"/>
              </w:rPr>
              <w:t xml:space="preserve">KÜLALISÕPETAJA: </w:t>
            </w:r>
            <w:r w:rsidDel="00000000" w:rsidR="00000000" w:rsidRPr="00000000">
              <w:rPr>
                <w:rFonts w:ascii="Poppins" w:cs="Poppins" w:eastAsia="Poppins" w:hAnsi="Poppins"/>
                <w:color w:val="21233a"/>
                <w:sz w:val="20"/>
                <w:szCs w:val="20"/>
                <w:rtl w:val="0"/>
              </w:rPr>
              <w:t xml:space="preserve">Sander Mölder, muusikaprodutsent</w:t>
            </w:r>
          </w:p>
          <w:p w:rsidR="00000000" w:rsidDel="00000000" w:rsidP="00000000" w:rsidRDefault="00000000" w:rsidRPr="00000000" w14:paraId="00000008">
            <w:pPr>
              <w:pBdr>
                <w:top w:color="000000" w:space="0" w:sz="0" w:val="none"/>
                <w:left w:color="000000" w:space="0" w:sz="0" w:val="none"/>
                <w:bottom w:color="000000" w:space="0" w:sz="0" w:val="none"/>
                <w:right w:color="000000" w:space="0" w:sz="0" w:val="none"/>
              </w:pBdr>
              <w:rPr>
                <w:rFonts w:ascii="Poppins" w:cs="Poppins" w:eastAsia="Poppins" w:hAnsi="Poppins"/>
                <w:b w:val="1"/>
                <w:bCs w:val="1"/>
                <w:color w:val="21233a"/>
                <w:sz w:val="20"/>
                <w:szCs w:val="20"/>
              </w:rPr>
            </w:pPr>
            <w:r w:rsidDel="00000000" w:rsidR="00000000" w:rsidRPr="00000000">
              <w:rPr>
                <w:rFonts w:ascii="Poppins" w:cs="Poppins" w:eastAsia="Poppins" w:hAnsi="Poppins"/>
                <w:b w:val="1"/>
                <w:bCs w:val="1"/>
                <w:color w:val="21233a"/>
                <w:sz w:val="20"/>
                <w:szCs w:val="20"/>
                <w:rtl w:val="0"/>
              </w:rPr>
              <w:t xml:space="preserve">SEOS RÕK-iga:</w:t>
            </w:r>
            <w:r w:rsidDel="00000000" w:rsidR="00000000" w:rsidRPr="00000000">
              <w:rPr>
                <w:rFonts w:ascii="Poppins" w:cs="Poppins" w:eastAsia="Poppins" w:hAnsi="Poppins"/>
                <w:color w:val="21233a"/>
                <w:sz w:val="20"/>
                <w:szCs w:val="20"/>
                <w:rtl w:val="0"/>
              </w:rPr>
              <w:t xml:space="preserve"> karjääripädevus, digipädevus</w:t>
            </w:r>
            <w:r w:rsidDel="00000000" w:rsidR="00000000" w:rsidRPr="00000000">
              <w:rPr>
                <w:rtl w:val="0"/>
              </w:rPr>
            </w:r>
          </w:p>
        </w:tc>
      </w:tr>
      <w:tr>
        <w:trPr>
          <w:cantSplit w:val="0"/>
          <w:trHeight w:val="603" w:hRule="atLeast"/>
          <w:tblHeader w:val="1"/>
        </w:trPr>
        <w:tc>
          <w:tcPr>
            <w:gridSpan w:val="3"/>
            <w:shd w:fill="005a36" w:val="clear"/>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00B">
            <w:pPr>
              <w:jc w:val="center"/>
              <w:rPr>
                <w:rFonts w:ascii="Poppins Medium" w:cs="Poppins Medium" w:eastAsia="Poppins Medium" w:hAnsi="Poppins Medium"/>
                <w:color w:val="ffffff"/>
                <w:sz w:val="18"/>
                <w:szCs w:val="18"/>
              </w:rPr>
            </w:pPr>
            <w:r w:rsidDel="00000000" w:rsidR="00000000" w:rsidRPr="00000000">
              <w:rPr>
                <w:rFonts w:ascii="Poppins Medium" w:cs="Poppins Medium" w:eastAsia="Poppins Medium" w:hAnsi="Poppins Medium"/>
                <w:color w:val="ffffff"/>
                <w:rtl w:val="0"/>
              </w:rPr>
              <w:t xml:space="preserve">Tunni osad</w:t>
            </w:r>
            <w:r w:rsidDel="00000000" w:rsidR="00000000" w:rsidRPr="00000000">
              <w:rPr>
                <w:rtl w:val="0"/>
              </w:rPr>
            </w:r>
          </w:p>
        </w:tc>
      </w:tr>
      <w:tr>
        <w:trPr>
          <w:cantSplit w:val="0"/>
          <w:trHeight w:val="693.3333333333335" w:hRule="atLeast"/>
          <w:tblHeader w:val="1"/>
        </w:trPr>
        <w:tc>
          <w:tcPr>
            <w:shd w:fill="e2d1bf" w:val="clear"/>
            <w:vAlign w:val="center"/>
          </w:tcPr>
          <w:p w:rsidR="00000000" w:rsidDel="00000000" w:rsidP="00000000" w:rsidRDefault="00000000" w:rsidRPr="00000000" w14:paraId="0000000E">
            <w:pPr>
              <w:widowControl w:val="0"/>
              <w:spacing w:line="240" w:lineRule="auto"/>
              <w:jc w:val="center"/>
              <w:rPr>
                <w:rFonts w:ascii="Poppins Medium" w:cs="Poppins Medium" w:eastAsia="Poppins Medium" w:hAnsi="Poppins Medium"/>
                <w:i w:val="1"/>
                <w:iCs w:val="1"/>
                <w:color w:val="21233a"/>
                <w:sz w:val="20"/>
                <w:szCs w:val="20"/>
              </w:rPr>
            </w:pPr>
            <w:r w:rsidDel="00000000" w:rsidR="00000000" w:rsidRPr="00000000">
              <w:rPr>
                <w:rFonts w:ascii="Poppins" w:cs="Poppins" w:eastAsia="Poppins" w:hAnsi="Poppins"/>
                <w:b w:val="1"/>
                <w:bCs w:val="1"/>
                <w:color w:val="21233a"/>
                <w:sz w:val="20"/>
                <w:szCs w:val="20"/>
                <w:rtl w:val="0"/>
              </w:rPr>
              <w:t xml:space="preserve">Häälestus</w:t>
            </w:r>
            <w:r w:rsidDel="00000000" w:rsidR="00000000" w:rsidRPr="00000000">
              <w:rPr>
                <w:rtl w:val="0"/>
              </w:rPr>
            </w:r>
          </w:p>
        </w:tc>
        <w:tc>
          <w:tcPr>
            <w:shd w:fill="e2d1bf" w:val="clear"/>
            <w:vAlign w:val="center"/>
          </w:tcPr>
          <w:p w:rsidR="00000000" w:rsidDel="00000000" w:rsidP="00000000" w:rsidRDefault="00000000" w:rsidRPr="00000000" w14:paraId="0000000F">
            <w:pPr>
              <w:widowControl w:val="0"/>
              <w:spacing w:line="240" w:lineRule="auto"/>
              <w:jc w:val="center"/>
              <w:rPr>
                <w:rFonts w:ascii="Poppins Medium" w:cs="Poppins Medium" w:eastAsia="Poppins Medium" w:hAnsi="Poppins Medium"/>
                <w:i w:val="1"/>
                <w:iCs w:val="1"/>
                <w:color w:val="21233a"/>
                <w:sz w:val="20"/>
                <w:szCs w:val="20"/>
              </w:rPr>
            </w:pPr>
            <w:r w:rsidDel="00000000" w:rsidR="00000000" w:rsidRPr="00000000">
              <w:rPr>
                <w:rFonts w:ascii="Poppins" w:cs="Poppins" w:eastAsia="Poppins" w:hAnsi="Poppins"/>
                <w:b w:val="1"/>
                <w:bCs w:val="1"/>
                <w:color w:val="21233a"/>
                <w:sz w:val="20"/>
                <w:szCs w:val="20"/>
                <w:rtl w:val="0"/>
              </w:rPr>
              <w:t xml:space="preserve">Video vaatamine</w:t>
            </w:r>
            <w:r w:rsidDel="00000000" w:rsidR="00000000" w:rsidRPr="00000000">
              <w:rPr>
                <w:rtl w:val="0"/>
              </w:rPr>
            </w:r>
          </w:p>
        </w:tc>
        <w:tc>
          <w:tcPr>
            <w:shd w:fill="e2d1bf" w:val="clear"/>
            <w:vAlign w:val="center"/>
          </w:tcPr>
          <w:p w:rsidR="00000000" w:rsidDel="00000000" w:rsidP="00000000" w:rsidRDefault="00000000" w:rsidRPr="00000000" w14:paraId="00000010">
            <w:pPr>
              <w:widowControl w:val="0"/>
              <w:spacing w:line="240" w:lineRule="auto"/>
              <w:jc w:val="center"/>
              <w:rPr>
                <w:rFonts w:ascii="Poppins Medium" w:cs="Poppins Medium" w:eastAsia="Poppins Medium" w:hAnsi="Poppins Medium"/>
                <w:i w:val="1"/>
                <w:iCs w:val="1"/>
                <w:color w:val="21233a"/>
                <w:sz w:val="20"/>
                <w:szCs w:val="20"/>
              </w:rPr>
            </w:pPr>
            <w:r w:rsidDel="00000000" w:rsidR="00000000" w:rsidRPr="00000000">
              <w:rPr>
                <w:rFonts w:ascii="Poppins" w:cs="Poppins" w:eastAsia="Poppins" w:hAnsi="Poppins"/>
                <w:b w:val="1"/>
                <w:bCs w:val="1"/>
                <w:color w:val="21233a"/>
                <w:sz w:val="20"/>
                <w:szCs w:val="20"/>
                <w:rtl w:val="0"/>
              </w:rPr>
              <w:t xml:space="preserve">Õpilaste iseseisev töö </w:t>
            </w:r>
            <w:r w:rsidDel="00000000" w:rsidR="00000000" w:rsidRPr="00000000">
              <w:rPr>
                <w:rtl w:val="0"/>
              </w:rPr>
            </w:r>
          </w:p>
        </w:tc>
      </w:tr>
      <w:tr>
        <w:trPr>
          <w:cantSplit w:val="0"/>
          <w:trHeight w:val="420" w:hRule="atLeast"/>
          <w:tblHeader w:val="1"/>
        </w:trPr>
        <w:tc>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cd89ff"/>
                <w:sz w:val="18"/>
                <w:szCs w:val="18"/>
              </w:rPr>
            </w:pPr>
            <w:r w:rsidDel="00000000" w:rsidR="00000000" w:rsidRPr="00000000">
              <w:rPr>
                <w:rFonts w:ascii="Poppins" w:cs="Poppins" w:eastAsia="Poppins" w:hAnsi="Poppins"/>
                <w:b w:val="1"/>
                <w:bCs w:val="1"/>
                <w:color w:val="cd89ff"/>
                <w:sz w:val="18"/>
                <w:szCs w:val="18"/>
                <w:rtl w:val="0"/>
              </w:rPr>
              <w:t xml:space="preserve">Tunni teema taust:</w:t>
            </w:r>
          </w:p>
        </w:tc>
        <w:tc>
          <w:tcPr>
            <w:gridSpan w:val="2"/>
            <w:shd w:fill="ffffff" w:val="clear"/>
          </w:tcPr>
          <w:p w:rsidR="00000000" w:rsidDel="00000000" w:rsidP="00000000" w:rsidRDefault="00000000" w:rsidRPr="00000000" w14:paraId="00000012">
            <w:pPr>
              <w:pBdr>
                <w:top w:color="000000" w:space="0" w:sz="0" w:val="none"/>
                <w:bottom w:color="000000" w:space="0" w:sz="0" w:val="none"/>
                <w:right w:color="000000" w:space="0" w:sz="0" w:val="none"/>
                <w:between w:color="000000" w:space="0" w:sz="0" w:val="none"/>
              </w:pBdr>
              <w:spacing w:line="216" w:lineRule="auto"/>
              <w:jc w:val="both"/>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Tehisarust räägitakse palju ja vahel võib tunduda, et varsti teeb see kogu töö meie eest ära. Aga kas see on päriselt nii? Selles e-tundide sarjas räägivad eri valdkondade inimesed, kuidas nad tehisaru juba täna nutikalt kasutavad ning miks on nende enda roll endiselt oluline.</w:t>
            </w:r>
          </w:p>
        </w:tc>
      </w:tr>
      <w:tr>
        <w:trPr>
          <w:cantSplit w:val="0"/>
          <w:trHeight w:val="400" w:hRule="atLeast"/>
          <w:tblHeader w:val="1"/>
        </w:trPr>
        <w:tc>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cd89ff"/>
                <w:sz w:val="20"/>
                <w:szCs w:val="20"/>
              </w:rPr>
            </w:pPr>
            <w:r w:rsidDel="00000000" w:rsidR="00000000" w:rsidRPr="00000000">
              <w:rPr>
                <w:rFonts w:ascii="Poppins" w:cs="Poppins" w:eastAsia="Poppins" w:hAnsi="Poppins"/>
                <w:b w:val="1"/>
                <w:bCs w:val="1"/>
                <w:color w:val="cd89ff"/>
                <w:sz w:val="18"/>
                <w:szCs w:val="18"/>
                <w:rtl w:val="0"/>
              </w:rPr>
              <w:t xml:space="preserve">Häälestus:</w:t>
            </w:r>
            <w:r w:rsidDel="00000000" w:rsidR="00000000" w:rsidRPr="00000000">
              <w:rPr>
                <w:rtl w:val="0"/>
              </w:rPr>
            </w:r>
          </w:p>
        </w:tc>
        <w:tc>
          <w:tcPr>
            <w:gridSpan w:val="2"/>
            <w:shd w:fill="ffffff" w:val="clea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Laske õpilastele 3 laulu (igat umbes 30 sekundit). Õpilaste ülesanne on panna kirja märksõnad, millega nad konkreetset laulu iseloomustaksid. Iga laulu järel arutage klassiruumis, kas see laul on tehisaru loodud või mitte. Arutage ka märksõnade üle, millega õpilased igat laulu kirjeldasid. </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Siin on toodud 3 laulu, mis kõik on tehisaru loodud. Võite kolme hulka panna ka mõne laulu, mis ei ole tehisaru loodud, aga siis tuleks valida vähemtuntum laul, mida õpilased kohe ära ei tunne.</w:t>
            </w:r>
          </w:p>
          <w:p w:rsidR="00000000" w:rsidDel="00000000" w:rsidP="00000000" w:rsidRDefault="00000000" w:rsidRPr="00000000" w14:paraId="00000017">
            <w:pPr>
              <w:widowControl w:val="0"/>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1) Tehisaru loodud laul:</w:t>
            </w:r>
          </w:p>
          <w:p w:rsidR="00000000" w:rsidDel="00000000" w:rsidP="00000000" w:rsidRDefault="00000000" w:rsidRPr="00000000" w14:paraId="00000018">
            <w:pPr>
              <w:widowControl w:val="0"/>
              <w:spacing w:line="240" w:lineRule="auto"/>
              <w:rPr>
                <w:rFonts w:ascii="Poppins" w:cs="Poppins" w:eastAsia="Poppins" w:hAnsi="Poppins"/>
                <w:color w:val="21233a"/>
                <w:sz w:val="18"/>
                <w:szCs w:val="18"/>
              </w:rPr>
            </w:pPr>
            <w:hyperlink r:id="rId7">
              <w:r w:rsidDel="00000000" w:rsidR="00000000" w:rsidRPr="00000000">
                <w:rPr>
                  <w:rFonts w:ascii="Poppins" w:cs="Poppins" w:eastAsia="Poppins" w:hAnsi="Poppins"/>
                  <w:color w:val="1155cc"/>
                  <w:sz w:val="18"/>
                  <w:szCs w:val="18"/>
                  <w:u w:val="single"/>
                  <w:rtl w:val="0"/>
                </w:rPr>
                <w:t xml:space="preserve">https://www.youtube.com/watch?v=A1pj_i34mXM</w:t>
              </w:r>
            </w:hyperlink>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2) Tehisaru loodud laul: </w:t>
            </w:r>
            <w:hyperlink r:id="rId8">
              <w:r w:rsidDel="00000000" w:rsidR="00000000" w:rsidRPr="00000000">
                <w:rPr>
                  <w:rFonts w:ascii="Poppins" w:cs="Poppins" w:eastAsia="Poppins" w:hAnsi="Poppins"/>
                  <w:color w:val="1155cc"/>
                  <w:sz w:val="18"/>
                  <w:szCs w:val="18"/>
                  <w:u w:val="single"/>
                  <w:rtl w:val="0"/>
                </w:rPr>
                <w:t xml:space="preserve">https://www.youtube.com/watch?v=2c8KuC9CbdI&amp;list=PLCxdPRvRb95sJJBu_HDfRqPG3wyPoX6Nh</w:t>
              </w:r>
            </w:hyperlink>
            <w:r w:rsidDel="00000000" w:rsidR="00000000" w:rsidRPr="00000000">
              <w:rPr>
                <w:rtl w:val="0"/>
              </w:rPr>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3) Tehisaru loodud laul: </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Poppins" w:cs="Poppins" w:eastAsia="Poppins" w:hAnsi="Poppins"/>
                <w:color w:val="21233a"/>
                <w:sz w:val="18"/>
                <w:szCs w:val="18"/>
              </w:rPr>
            </w:pPr>
            <w:hyperlink r:id="rId9">
              <w:r w:rsidDel="00000000" w:rsidR="00000000" w:rsidRPr="00000000">
                <w:rPr>
                  <w:rFonts w:ascii="Poppins" w:cs="Poppins" w:eastAsia="Poppins" w:hAnsi="Poppins"/>
                  <w:color w:val="1155cc"/>
                  <w:sz w:val="18"/>
                  <w:szCs w:val="18"/>
                  <w:u w:val="single"/>
                  <w:rtl w:val="0"/>
                </w:rPr>
                <w:t xml:space="preserve">https://www.youtube.com/watch?v=OU71XDWYeIk</w:t>
              </w:r>
            </w:hyperlink>
            <w:r w:rsidDel="00000000" w:rsidR="00000000" w:rsidRPr="00000000">
              <w:rPr>
                <w:rtl w:val="0"/>
              </w:rPr>
            </w:r>
          </w:p>
        </w:tc>
      </w:tr>
      <w:tr>
        <w:trPr>
          <w:cantSplit w:val="0"/>
          <w:trHeight w:val="1283.333333333333" w:hRule="atLeast"/>
          <w:tblHeader w:val="1"/>
        </w:trPr>
        <w:tc>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cd89ff"/>
                <w:sz w:val="20"/>
                <w:szCs w:val="20"/>
              </w:rPr>
            </w:pPr>
            <w:r w:rsidDel="00000000" w:rsidR="00000000" w:rsidRPr="00000000">
              <w:rPr>
                <w:rFonts w:ascii="Poppins" w:cs="Poppins" w:eastAsia="Poppins" w:hAnsi="Poppins"/>
                <w:b w:val="1"/>
                <w:bCs w:val="1"/>
                <w:color w:val="cd89ff"/>
                <w:sz w:val="18"/>
                <w:szCs w:val="18"/>
                <w:rtl w:val="0"/>
              </w:rPr>
              <w:t xml:space="preserve">Õpilaste iseseisev töö:</w:t>
            </w:r>
            <w:r w:rsidDel="00000000" w:rsidR="00000000" w:rsidRPr="00000000">
              <w:rPr>
                <w:rtl w:val="0"/>
              </w:rPr>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21233a"/>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1F">
            <w:pPr>
              <w:widowControl w:val="0"/>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1. Õpilastel on ette antud olukord: </w:t>
            </w:r>
          </w:p>
          <w:p w:rsidR="00000000" w:rsidDel="00000000" w:rsidP="00000000" w:rsidRDefault="00000000" w:rsidRPr="00000000" w14:paraId="00000020">
            <w:pPr>
              <w:widowControl w:val="0"/>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Kuulus muusik annab välja laulu, mille viisi on loonud tehisaru, aga sõnad on kirjutanud artist ise. Arutada paarilisega: 1) Kes on laulu autor? 2) Kas kuulajad peaksid teadma, et laul on loodud koos tehisaruga?</w:t>
            </w:r>
          </w:p>
          <w:p w:rsidR="00000000" w:rsidDel="00000000" w:rsidP="00000000" w:rsidRDefault="00000000" w:rsidRPr="00000000" w14:paraId="00000021">
            <w:pPr>
              <w:widowControl w:val="1"/>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2. Rühmatöö, kus 3–4-liikmelistes rühmades tuleb luua koos Suno abiga üks laul. 2 salmi ja refrään tuleb rühmadel endal valmis kirjutada. Seejärel sisestada see Suno programmi ja vaadata, millise viisi see sõnadele juurde annab. Kui sõnad ja refrään on Suno abiga viisi saanud, siis rühmad võiksid arutada: 1) Kas lõpptulemus vastas sellele, mida ette kujutasite? Mis oli teisiti, kui ootasite? 2) Kui saaksite laulu veel edasi arendada, mida muudaksite? 3) Kas teie meelest on loodud laulu hiti potentsiaali? Põhjendage. Klassis võiks rühmade laule ka ühiselt kuulata. Seda võib teha enne kolmandat aruteluküsimust ja koos arutada, kas laulust võiks saada hitt või mitte. </w:t>
            </w:r>
          </w:p>
        </w:tc>
      </w:tr>
    </w:tbl>
    <w:p w:rsidR="00000000" w:rsidDel="00000000" w:rsidP="00000000" w:rsidRDefault="00000000" w:rsidRPr="00000000" w14:paraId="00000023">
      <w:pPr>
        <w:spacing w:line="240" w:lineRule="auto"/>
        <w:ind w:left="-810" w:firstLine="0"/>
        <w:rPr>
          <w:sz w:val="18"/>
          <w:szCs w:val="18"/>
        </w:rPr>
      </w:pPr>
      <w:r w:rsidDel="00000000" w:rsidR="00000000" w:rsidRPr="00000000">
        <w:rPr>
          <w:rFonts w:ascii="Poppins" w:cs="Poppins" w:eastAsia="Poppins" w:hAnsi="Poppins"/>
          <w:color w:val="21233a"/>
          <w:sz w:val="18"/>
          <w:szCs w:val="18"/>
          <w:rtl w:val="0"/>
        </w:rPr>
        <w:t xml:space="preserve">* Tunnikava on loodud selleks, et pakkuda õpetajatele välja erinevaid variante õpilaste aktiivseks kaasamiseks tunni teemasse. Tunnikava ei pea tingimata kasutama.</w:t>
      </w:r>
      <w:r w:rsidDel="00000000" w:rsidR="00000000" w:rsidRPr="00000000">
        <w:rPr>
          <w:rtl w:val="0"/>
        </w:rPr>
      </w:r>
    </w:p>
    <w:sectPr>
      <w:headerReference r:id="rId10" w:type="default"/>
      <w:footerReference r:id="rId11" w:type="default"/>
      <w:pgSz w:h="15840" w:w="12240" w:orient="portrait"/>
      <w:pgMar w:bottom="1440.0000000000002" w:top="1440"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ind w:right="360"/>
      <w:rPr>
        <w:rFonts w:ascii="Poppins Medium" w:cs="Poppins Medium" w:eastAsia="Poppins Medium" w:hAnsi="Poppins Medium"/>
        <w:color w:val="21233a"/>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3942213</wp:posOffset>
          </wp:positionH>
          <wp:positionV relativeFrom="paragraph">
            <wp:posOffset>-133346</wp:posOffset>
          </wp:positionV>
          <wp:extent cx="1214438" cy="404813"/>
          <wp:effectExtent b="0" l="0" r="0" t="0"/>
          <wp:wrapNone/>
          <wp:docPr id="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214438" cy="404813"/>
                  </a:xfrm>
                  <a:prstGeom prst="rect"/>
                  <a:ln/>
                </pic:spPr>
              </pic:pic>
            </a:graphicData>
          </a:graphic>
        </wp:anchor>
      </w:drawing>
    </w:r>
  </w:p>
  <w:p w:rsidR="00000000" w:rsidDel="00000000" w:rsidP="00000000" w:rsidRDefault="00000000" w:rsidRPr="00000000" w14:paraId="00000025">
    <w:pPr>
      <w:rPr/>
    </w:pPr>
    <w:r w:rsidDel="00000000" w:rsidR="00000000" w:rsidRPr="00000000">
      <w:rPr/>
      <w:pict>
        <v:shape id="WordPictureWatermark1" style="position:absolute;width:113.33952755905511pt;height:60.75pt;rotation:0;z-index:-503316481;mso-position-horizontal-relative:margin;mso-position-horizontal:absolute;margin-left:406.4104724409449pt;mso-position-vertical-relative:margin;mso-position-vertical:absolute;margin-top:-60.75pt;" alt="" type="#_x0000_t75">
          <v:imagedata cropbottom="0f" cropleft="0f" cropright="0f" croptop="0f" r:id="rId2"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www.youtube.com/watch?v=OU71XDWYeI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youtube.com/watch?v=A1pj_i34mXM" TargetMode="External"/><Relationship Id="rId8" Type="http://schemas.openxmlformats.org/officeDocument/2006/relationships/hyperlink" Target="https://www.youtube.com/watch?v=2c8KuC9CbdI&amp;list=PLCxdPRvRb95sJJBu_HDfRqPG3wyPoX6Nh"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5" Type="http://schemas.openxmlformats.org/officeDocument/2006/relationships/font" Target="fonts/PoppinsMedium-regular.ttf"/><Relationship Id="rId6" Type="http://schemas.openxmlformats.org/officeDocument/2006/relationships/font" Target="fonts/PoppinsMedium-bold.ttf"/><Relationship Id="rId7" Type="http://schemas.openxmlformats.org/officeDocument/2006/relationships/font" Target="fonts/PoppinsMedium-italic.ttf"/><Relationship Id="rId8" Type="http://schemas.openxmlformats.org/officeDocument/2006/relationships/font" Target="fonts/PoppinsMedium-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mXDSRL0ktYwKgy59vSe118HPTg==">CgMxLjA4AHIhMTM0bEsyWWp5SjQ0bWZrTGpEYTNiVXJrZlFmVmphU2Ns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