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360"/>
        <w:rPr>
          <w:rFonts w:ascii="Poppins Medium" w:cs="Poppins Medium" w:eastAsia="Poppins Medium" w:hAnsi="Poppins Medium"/>
          <w:color w:val="21233a"/>
          <w:sz w:val="24"/>
          <w:szCs w:val="24"/>
        </w:rPr>
      </w:pPr>
      <w:r w:rsidDel="00000000" w:rsidR="00000000" w:rsidRPr="00000000">
        <w:rPr>
          <w:rtl w:val="0"/>
        </w:rPr>
      </w:r>
    </w:p>
    <w:tbl>
      <w:tblPr>
        <w:tblStyle w:val="Table1"/>
        <w:tblpPr w:leftFromText="180" w:rightFromText="180" w:topFromText="180" w:bottomFromText="180" w:vertAnchor="text" w:horzAnchor="text" w:tblpX="-885" w:tblpY="0"/>
        <w:tblW w:w="11173.3333333333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4380"/>
        <w:gridCol w:w="3598.333333333334"/>
        <w:tblGridChange w:id="0">
          <w:tblGrid>
            <w:gridCol w:w="3195"/>
            <w:gridCol w:w="4380"/>
            <w:gridCol w:w="3598.333333333334"/>
          </w:tblGrid>
        </w:tblGridChange>
      </w:tblGrid>
      <w:tr>
        <w:trPr>
          <w:cantSplit w:val="0"/>
          <w:trHeight w:val="423.00000000000006"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2">
            <w:pPr>
              <w:rPr>
                <w:rFonts w:ascii="Poppins Medium" w:cs="Poppins Medium" w:eastAsia="Poppins Medium" w:hAnsi="Poppins Medium"/>
                <w:color w:val="ffffff"/>
                <w:sz w:val="24"/>
                <w:szCs w:val="24"/>
              </w:rPr>
            </w:pPr>
            <w:r w:rsidDel="00000000" w:rsidR="00000000" w:rsidRPr="00000000">
              <w:rPr>
                <w:rFonts w:ascii="Poppins Medium" w:cs="Poppins Medium" w:eastAsia="Poppins Medium" w:hAnsi="Poppins Medium"/>
                <w:color w:val="ffffff"/>
                <w:sz w:val="24"/>
                <w:szCs w:val="24"/>
                <w:rtl w:val="0"/>
              </w:rPr>
              <w:t xml:space="preserve">Tunnikava “Kuidas aitab tehisaru päästa elusid?”</w:t>
            </w:r>
          </w:p>
        </w:tc>
      </w:tr>
      <w:tr>
        <w:trPr>
          <w:cantSplit w:val="0"/>
          <w:trHeight w:val="861.0000000000001" w:hRule="atLeast"/>
          <w:tblHeader w:val="1"/>
        </w:trPr>
        <w:tc>
          <w:tcPr>
            <w:gridSpan w:val="3"/>
            <w:tcMar>
              <w:top w:w="213.16535433070868" w:type="dxa"/>
              <w:left w:w="213.16535433070868" w:type="dxa"/>
              <w:bottom w:w="213.16535433070868" w:type="dxa"/>
              <w:right w:w="213.16535433070868"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line="240" w:lineRule="auto"/>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TUNNI ÕPIEESMÄRK: </w:t>
            </w:r>
            <w:r w:rsidDel="00000000" w:rsidR="00000000" w:rsidRPr="00000000">
              <w:rPr>
                <w:rFonts w:ascii="Poppins" w:cs="Poppins" w:eastAsia="Poppins" w:hAnsi="Poppins"/>
                <w:color w:val="21233a"/>
                <w:sz w:val="20"/>
                <w:szCs w:val="20"/>
                <w:rtl w:val="0"/>
              </w:rPr>
              <w:t xml:space="preserve">õpilased mõistavad, kuidas tehisinaru mõjutab erinevaid elukutseid ja oskusi, oskavad analüüsida tehisaru rolli ja teha teadlikke otsuseid oma tulevikuoskuste arendamisel.</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KLASS:</w:t>
            </w:r>
            <w:r w:rsidDel="00000000" w:rsidR="00000000" w:rsidRPr="00000000">
              <w:rPr>
                <w:rFonts w:ascii="Poppins" w:cs="Poppins" w:eastAsia="Poppins" w:hAnsi="Poppins"/>
                <w:color w:val="21233a"/>
                <w:sz w:val="20"/>
                <w:szCs w:val="20"/>
                <w:rtl w:val="0"/>
              </w:rPr>
              <w:t xml:space="preserve"> 10.–11. klass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KÜLALISÕPETAJA:</w:t>
            </w:r>
            <w:r w:rsidDel="00000000" w:rsidR="00000000" w:rsidRPr="00000000">
              <w:rPr>
                <w:rFonts w:ascii="Poppins" w:cs="Poppins" w:eastAsia="Poppins" w:hAnsi="Poppins"/>
                <w:color w:val="21233a"/>
                <w:sz w:val="20"/>
                <w:szCs w:val="20"/>
                <w:rtl w:val="0"/>
              </w:rPr>
              <w:t xml:space="preserve"> Martin Reim, Tartu Ülikooli Kliinikumi arst-õppejõud radioloog</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rPr>
                <w:rFonts w:ascii="Poppins" w:cs="Poppins" w:eastAsia="Poppins" w:hAnsi="Poppins"/>
                <w:b w:val="1"/>
                <w:bCs w:val="1"/>
                <w:color w:val="21233a"/>
                <w:sz w:val="20"/>
                <w:szCs w:val="20"/>
              </w:rPr>
            </w:pPr>
            <w:r w:rsidDel="00000000" w:rsidR="00000000" w:rsidRPr="00000000">
              <w:rPr>
                <w:rFonts w:ascii="Poppins" w:cs="Poppins" w:eastAsia="Poppins" w:hAnsi="Poppins"/>
                <w:b w:val="1"/>
                <w:bCs w:val="1"/>
                <w:color w:val="21233a"/>
                <w:sz w:val="20"/>
                <w:szCs w:val="20"/>
                <w:rtl w:val="0"/>
              </w:rPr>
              <w:t xml:space="preserve">SEOS RÕK-iga:</w:t>
            </w:r>
            <w:r w:rsidDel="00000000" w:rsidR="00000000" w:rsidRPr="00000000">
              <w:rPr>
                <w:rFonts w:ascii="Poppins" w:cs="Poppins" w:eastAsia="Poppins" w:hAnsi="Poppins"/>
                <w:color w:val="21233a"/>
                <w:sz w:val="20"/>
                <w:szCs w:val="20"/>
                <w:rtl w:val="0"/>
              </w:rPr>
              <w:t xml:space="preserve"> karjääripädevus, digipädevus</w:t>
            </w:r>
            <w:r w:rsidDel="00000000" w:rsidR="00000000" w:rsidRPr="00000000">
              <w:rPr>
                <w:rtl w:val="0"/>
              </w:rPr>
            </w:r>
          </w:p>
        </w:tc>
      </w:tr>
      <w:tr>
        <w:trPr>
          <w:cantSplit w:val="0"/>
          <w:trHeight w:val="603"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B">
            <w:pPr>
              <w:jc w:val="center"/>
              <w:rPr>
                <w:rFonts w:ascii="Poppins Medium" w:cs="Poppins Medium" w:eastAsia="Poppins Medium" w:hAnsi="Poppins Medium"/>
                <w:color w:val="ffffff"/>
                <w:sz w:val="18"/>
                <w:szCs w:val="18"/>
              </w:rPr>
            </w:pPr>
            <w:r w:rsidDel="00000000" w:rsidR="00000000" w:rsidRPr="00000000">
              <w:rPr>
                <w:rFonts w:ascii="Poppins Medium" w:cs="Poppins Medium" w:eastAsia="Poppins Medium" w:hAnsi="Poppins Medium"/>
                <w:color w:val="ffffff"/>
                <w:rtl w:val="0"/>
              </w:rPr>
              <w:t xml:space="preserve">Tunni osad</w:t>
            </w:r>
            <w:r w:rsidDel="00000000" w:rsidR="00000000" w:rsidRPr="00000000">
              <w:rPr>
                <w:rtl w:val="0"/>
              </w:rPr>
            </w:r>
          </w:p>
        </w:tc>
      </w:tr>
      <w:tr>
        <w:trPr>
          <w:cantSplit w:val="0"/>
          <w:trHeight w:val="693.3333333333335" w:hRule="atLeast"/>
          <w:tblHeader w:val="1"/>
        </w:trPr>
        <w:tc>
          <w:tcPr>
            <w:shd w:fill="e2d1bf" w:val="clear"/>
            <w:vAlign w:val="center"/>
          </w:tcPr>
          <w:p w:rsidR="00000000" w:rsidDel="00000000" w:rsidP="00000000" w:rsidRDefault="00000000" w:rsidRPr="00000000" w14:paraId="0000000E">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Häälestus</w:t>
            </w:r>
            <w:r w:rsidDel="00000000" w:rsidR="00000000" w:rsidRPr="00000000">
              <w:rPr>
                <w:rtl w:val="0"/>
              </w:rPr>
            </w:r>
          </w:p>
        </w:tc>
        <w:tc>
          <w:tcPr>
            <w:shd w:fill="e2d1bf" w:val="clear"/>
            <w:vAlign w:val="center"/>
          </w:tcPr>
          <w:p w:rsidR="00000000" w:rsidDel="00000000" w:rsidP="00000000" w:rsidRDefault="00000000" w:rsidRPr="00000000" w14:paraId="0000000F">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Video vaatamine</w:t>
            </w:r>
            <w:r w:rsidDel="00000000" w:rsidR="00000000" w:rsidRPr="00000000">
              <w:rPr>
                <w:rtl w:val="0"/>
              </w:rPr>
            </w:r>
          </w:p>
        </w:tc>
        <w:tc>
          <w:tcPr>
            <w:shd w:fill="e2d1bf" w:val="clear"/>
            <w:vAlign w:val="center"/>
          </w:tcPr>
          <w:p w:rsidR="00000000" w:rsidDel="00000000" w:rsidP="00000000" w:rsidRDefault="00000000" w:rsidRPr="00000000" w14:paraId="00000010">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Õpilaste iseseisev töö </w:t>
            </w:r>
            <w:r w:rsidDel="00000000" w:rsidR="00000000" w:rsidRPr="00000000">
              <w:rPr>
                <w:rtl w:val="0"/>
              </w:rPr>
            </w:r>
          </w:p>
        </w:tc>
      </w:tr>
      <w:tr>
        <w:trPr>
          <w:cantSplit w:val="0"/>
          <w:trHeight w:val="420" w:hRule="atLeast"/>
          <w:tblHeader w:val="1"/>
        </w:trPr>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18"/>
                <w:szCs w:val="18"/>
              </w:rPr>
            </w:pPr>
            <w:r w:rsidDel="00000000" w:rsidR="00000000" w:rsidRPr="00000000">
              <w:rPr>
                <w:rFonts w:ascii="Poppins" w:cs="Poppins" w:eastAsia="Poppins" w:hAnsi="Poppins"/>
                <w:b w:val="1"/>
                <w:bCs w:val="1"/>
                <w:color w:val="cd89ff"/>
                <w:sz w:val="18"/>
                <w:szCs w:val="18"/>
                <w:rtl w:val="0"/>
              </w:rPr>
              <w:t xml:space="preserve">Tunni teema taust:</w:t>
            </w:r>
          </w:p>
        </w:tc>
        <w:tc>
          <w:tcPr>
            <w:gridSpan w:val="2"/>
            <w:shd w:fill="ffffff" w:val="clear"/>
          </w:tcPr>
          <w:p w:rsidR="00000000" w:rsidDel="00000000" w:rsidP="00000000" w:rsidRDefault="00000000" w:rsidRPr="00000000" w14:paraId="00000012">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Tehisarust räägitakse palju ja vahel võib tunduda, et varsti teeb see kogu töö meie eest ära. Aga kas see on päriselt nii? Selles e-tundide sarjas räägivad eri valdkondade inimesed, kuidas nad tehisaru juba täna nutikalt kasutavad ning miks on nende enda roll endiselt oluline.</w:t>
            </w:r>
          </w:p>
        </w:tc>
      </w:tr>
      <w:tr>
        <w:trPr>
          <w:cantSplit w:val="0"/>
          <w:trHeight w:val="400" w:hRule="atLeast"/>
          <w:tblHeader w:val="1"/>
        </w:trPr>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Häälestus:</w:t>
            </w:r>
            <w:r w:rsidDel="00000000" w:rsidR="00000000" w:rsidRPr="00000000">
              <w:rPr>
                <w:rtl w:val="0"/>
              </w:rPr>
            </w:r>
          </w:p>
        </w:tc>
        <w:tc>
          <w:tcPr>
            <w:gridSpan w:val="2"/>
            <w:shd w:fill="ffffff"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Õpilastel tuleb töötada paarides ning arutada, kuidas tehisaru võib mõjutada inimeste tervist nii positiivselt kui ka negatiivselt. Arutelus peaksid õpilased selgitama oma mõtteid ning tooma näiteid igapäevaelust. Vastuste näited (positiivsed): tehisaruga rakendused, mis aitavad jälgida und, liikumist ja üldist tervislikku seisundit. Tehisaru aitab kiiremini nt analüüsida röntgenpilte, tuvastada muutusi vms.</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Negatiivsed näited: liigne tehisaru usaldamine, mille tõttu võivad tekkida ravivead. Valeinfo tagajärjel võivad inimesed hakata end ise valesti ravima või ignoreerima arsti nõuandeid. </w:t>
            </w:r>
          </w:p>
        </w:tc>
      </w:tr>
      <w:tr>
        <w:trPr>
          <w:cantSplit w:val="0"/>
          <w:trHeight w:val="2775" w:hRule="atLeast"/>
          <w:tblHeader w:val="1"/>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Õpilaste iseseisev töö:</w:t>
            </w: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21233a"/>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1A">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Õpilastel tuleb töötada paarides ning arutada olukorda, kus nad on haiglas patsiendi rollis ja arst teatab, et diagnoosi panemisel on kasutatud tehisaru abi. Õpilased arutlevad omavahel, milline oleks nende esimene reaktsioon sellisele teabele ning kas see muudaks nende usaldust arsti või diagnoosi suhtes. Samuti arutatakse, kas nad tunneksid vajadust küsida teist arvamust ning millist lisainfot nad sooviksid diagnoosi ja tehisaru rolli kohta saada. </w:t>
            </w:r>
          </w:p>
          <w:p w:rsidR="00000000" w:rsidDel="00000000" w:rsidP="00000000" w:rsidRDefault="00000000" w:rsidRPr="00000000" w14:paraId="0000001B">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Õpilastel tuleb moodustada 3–4-liikmelised rühmad ning kujutleda end iduettevõttena, kes arendab tehisaru kasutavat tervishoiurakendust. Rühmad peavad esmalt valima ühe konkreetse tervishoiuprobleemi, mida nende rakendus hakkab lahendama. Esmalt tuleb rühmadel sõnastada rakenduse idee, toetudes kolmele küsimusele: Mis on probleem? Keda see puudutab? Kuidas tehisaru aitab seda probleemi lahendada?</w:t>
            </w:r>
          </w:p>
          <w:p w:rsidR="00000000" w:rsidDel="00000000" w:rsidP="00000000" w:rsidRDefault="00000000" w:rsidRPr="00000000" w14:paraId="0000001C">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Pärast idee sõnastamist loovad õpilased vähemalt kaks visuaali, kasutades mõnd tehisaru tööriista, et toetada oma idee esitlemist. Visuaalideks võivad olla näiteks rakenduse logo, kuvatõmmis rakendusest, kodulehe esileht või muu idee selgitamiseks sobiv illustratsioon.</w:t>
            </w:r>
          </w:p>
          <w:p w:rsidR="00000000" w:rsidDel="00000000" w:rsidP="00000000" w:rsidRDefault="00000000" w:rsidRPr="00000000" w14:paraId="0000001D">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Seejärel koostavad rühmad tehisaru abil 4–5 slaidist koosneva esitluse, millega oma ideed klassile tutvustada. Esitlus peab sisaldama:</w:t>
            </w:r>
          </w:p>
          <w:p w:rsidR="00000000" w:rsidDel="00000000" w:rsidP="00000000" w:rsidRDefault="00000000" w:rsidRPr="00000000" w14:paraId="0000001E">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Probleemi — keda see puudutab ja miks on see päriselt oluline.</w:t>
            </w:r>
          </w:p>
          <w:p w:rsidR="00000000" w:rsidDel="00000000" w:rsidP="00000000" w:rsidRDefault="00000000" w:rsidRPr="00000000" w14:paraId="0000001F">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Lahendust — mis rakendus see on ja kuidas kasutab tehisaru.</w:t>
            </w:r>
          </w:p>
          <w:p w:rsidR="00000000" w:rsidDel="00000000" w:rsidP="00000000" w:rsidRDefault="00000000" w:rsidRPr="00000000" w14:paraId="00000020">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3) Kuidas töötab — näidake samm-sammult, kuidas kasutaja rakendust päriselt kasutaks (siin võib kasutada nt tehisaru loodud pilti või skeemi).</w:t>
            </w:r>
          </w:p>
          <w:p w:rsidR="00000000" w:rsidDel="00000000" w:rsidP="00000000" w:rsidRDefault="00000000" w:rsidRPr="00000000" w14:paraId="00000021">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4) Miks see toimib — selgitus, mis teeb teie lahenduse heaks.</w:t>
            </w:r>
          </w:p>
          <w:p w:rsidR="00000000" w:rsidDel="00000000" w:rsidP="00000000" w:rsidRDefault="00000000" w:rsidRPr="00000000" w14:paraId="00000022">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Lõpuks esitlevad rühmad oma ideed teistele klassikaaslastele. Esitluste järel võib toimuda klassis arutelu, kus teised õpilased esitavad küsimusi, annavad tagasisidet või arutavad, kui realistlik ja kasulik pakutud lahendus on.</w:t>
            </w:r>
          </w:p>
        </w:tc>
      </w:tr>
    </w:tbl>
    <w:p w:rsidR="00000000" w:rsidDel="00000000" w:rsidP="00000000" w:rsidRDefault="00000000" w:rsidRPr="00000000" w14:paraId="00000024">
      <w:pPr>
        <w:spacing w:line="240" w:lineRule="auto"/>
        <w:ind w:left="-810" w:firstLine="0"/>
        <w:rPr>
          <w:sz w:val="18"/>
          <w:szCs w:val="18"/>
        </w:rPr>
      </w:pPr>
      <w:r w:rsidDel="00000000" w:rsidR="00000000" w:rsidRPr="00000000">
        <w:rPr>
          <w:rFonts w:ascii="Poppins" w:cs="Poppins" w:eastAsia="Poppins" w:hAnsi="Poppins"/>
          <w:color w:val="21233a"/>
          <w:sz w:val="18"/>
          <w:szCs w:val="18"/>
          <w:rtl w:val="0"/>
        </w:rPr>
        <w:t xml:space="preserve">* Tunnikava on loodud selleks, et pakkuda õpetajatele välja erinevaid variante õpilaste aktiivseks kaasamiseks tunni teemasse. Tunnikava ei pea tingimata kasutama.</w:t>
      </w:r>
      <w:r w:rsidDel="00000000" w:rsidR="00000000" w:rsidRPr="00000000">
        <w:rPr>
          <w:rtl w:val="0"/>
        </w:rPr>
      </w:r>
    </w:p>
    <w:sectPr>
      <w:headerReference r:id="rId7" w:type="default"/>
      <w:footerReference r:id="rId8" w:type="default"/>
      <w:pgSz w:h="15840" w:w="12240" w:orient="portrait"/>
      <w:pgMar w:bottom="1440.0000000000002" w:top="144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ind w:right="360"/>
      <w:rPr>
        <w:rFonts w:ascii="Poppins Medium" w:cs="Poppins Medium" w:eastAsia="Poppins Medium" w:hAnsi="Poppins Medium"/>
        <w:color w:val="21233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3942213</wp:posOffset>
          </wp:positionH>
          <wp:positionV relativeFrom="paragraph">
            <wp:posOffset>-133345</wp:posOffset>
          </wp:positionV>
          <wp:extent cx="1214438" cy="40481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4438" cy="404813"/>
                  </a:xfrm>
                  <a:prstGeom prst="rect"/>
                  <a:ln/>
                </pic:spPr>
              </pic:pic>
            </a:graphicData>
          </a:graphic>
        </wp:anchor>
      </w:drawing>
    </w:r>
  </w:p>
  <w:p w:rsidR="00000000" w:rsidDel="00000000" w:rsidP="00000000" w:rsidRDefault="00000000" w:rsidRPr="00000000" w14:paraId="00000026">
    <w:pPr>
      <w:rPr/>
    </w:pPr>
    <w:r w:rsidDel="00000000" w:rsidR="00000000" w:rsidRPr="00000000">
      <w:rPr/>
      <w:pict>
        <v:shape id="WordPictureWatermark1" style="position:absolute;width:113.33952755905511pt;height:60.75pt;rotation:0;z-index:-503316481;mso-position-horizontal-relative:margin;mso-position-horizontal:absolute;margin-left:406.4104724409449pt;mso-position-vertical-relative:margin;mso-position-vertical:absolute;margin-top:-60.75pt;" alt="" type="#_x0000_t75">
          <v:imagedata cropbottom="0f" cropleft="0f" cropright="0f" croptop="0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9PpGxZmteGApav+rfZvNIhjEhg==">CgMxLjA4AHIhMUdzM0hpTGRacmc5RWRSdjBuN19kd3QtZDdmbUFJdm14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