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right="360"/>
        <w:rPr>
          <w:rFonts w:ascii="Poppins Medium" w:cs="Poppins Medium" w:eastAsia="Poppins Medium" w:hAnsi="Poppins Medium"/>
          <w:color w:val="21233a"/>
          <w:sz w:val="24"/>
          <w:szCs w:val="24"/>
        </w:rPr>
      </w:pPr>
      <w:r w:rsidDel="00000000" w:rsidR="00000000" w:rsidRPr="00000000">
        <w:rPr>
          <w:rtl w:val="0"/>
        </w:rPr>
      </w:r>
    </w:p>
    <w:tbl>
      <w:tblPr>
        <w:tblStyle w:val="Table1"/>
        <w:tblpPr w:leftFromText="180" w:rightFromText="180" w:topFromText="180" w:bottomFromText="180" w:vertAnchor="text" w:horzAnchor="text" w:tblpX="-885" w:tblpY="0"/>
        <w:tblW w:w="11173.333333333336"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195"/>
        <w:gridCol w:w="4380"/>
        <w:gridCol w:w="3598.333333333334"/>
        <w:tblGridChange w:id="0">
          <w:tblGrid>
            <w:gridCol w:w="3195"/>
            <w:gridCol w:w="4380"/>
            <w:gridCol w:w="3598.333333333334"/>
          </w:tblGrid>
        </w:tblGridChange>
      </w:tblGrid>
      <w:tr>
        <w:trPr>
          <w:cantSplit w:val="0"/>
          <w:trHeight w:val="423.00000000000006" w:hRule="atLeast"/>
          <w:tblHeader w:val="1"/>
        </w:trPr>
        <w:tc>
          <w:tcPr>
            <w:gridSpan w:val="3"/>
            <w:shd w:fill="005a36"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02">
            <w:pPr>
              <w:rPr>
                <w:rFonts w:ascii="Poppins Medium" w:cs="Poppins Medium" w:eastAsia="Poppins Medium" w:hAnsi="Poppins Medium"/>
                <w:color w:val="ffffff"/>
                <w:sz w:val="24"/>
                <w:szCs w:val="24"/>
              </w:rPr>
            </w:pPr>
            <w:r w:rsidDel="00000000" w:rsidR="00000000" w:rsidRPr="00000000">
              <w:rPr>
                <w:rFonts w:ascii="Poppins Medium" w:cs="Poppins Medium" w:eastAsia="Poppins Medium" w:hAnsi="Poppins Medium"/>
                <w:color w:val="ffffff"/>
                <w:sz w:val="24"/>
                <w:szCs w:val="24"/>
                <w:rtl w:val="0"/>
              </w:rPr>
              <w:t xml:space="preserve">Tunnikava  “Kas tuleviku õpetaja on tehisaru?”</w:t>
            </w:r>
          </w:p>
        </w:tc>
      </w:tr>
      <w:tr>
        <w:trPr>
          <w:cantSplit w:val="0"/>
          <w:trHeight w:val="861.0000000000001" w:hRule="atLeast"/>
          <w:tblHeader w:val="1"/>
        </w:trPr>
        <w:tc>
          <w:tcPr>
            <w:gridSpan w:val="3"/>
            <w:tcMar>
              <w:top w:w="213.16535433070868" w:type="dxa"/>
              <w:left w:w="213.16535433070868" w:type="dxa"/>
              <w:bottom w:w="213.16535433070868" w:type="dxa"/>
              <w:right w:w="213.16535433070868" w:type="dxa"/>
            </w:tcMar>
            <w:vAlign w:val="center"/>
          </w:tcPr>
          <w:p w:rsidR="00000000" w:rsidDel="00000000" w:rsidP="00000000" w:rsidRDefault="00000000" w:rsidRPr="00000000" w14:paraId="00000005">
            <w:pPr>
              <w:pBdr>
                <w:top w:color="000000" w:space="0" w:sz="0" w:val="none"/>
                <w:left w:color="000000" w:space="0" w:sz="0" w:val="none"/>
                <w:bottom w:color="000000" w:space="0" w:sz="0" w:val="none"/>
                <w:right w:color="000000" w:space="0" w:sz="0" w:val="none"/>
              </w:pBdr>
              <w:spacing w:line="240" w:lineRule="auto"/>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TUNNI ÕPIEESMÄRK: </w:t>
            </w:r>
            <w:r w:rsidDel="00000000" w:rsidR="00000000" w:rsidRPr="00000000">
              <w:rPr>
                <w:rFonts w:ascii="Poppins" w:cs="Poppins" w:eastAsia="Poppins" w:hAnsi="Poppins"/>
                <w:color w:val="21233a"/>
                <w:sz w:val="20"/>
                <w:szCs w:val="20"/>
                <w:rtl w:val="0"/>
              </w:rPr>
              <w:t xml:space="preserve">õpilased mõistavad, kuidas tehisaru mõjutab erinevaid elukutseid ja oskusi, oskavad analüüsida tehisaru rolli ja teha teadlikke otsuseid oma tulevikuoskuste arendamisel.</w:t>
            </w:r>
          </w:p>
          <w:p w:rsidR="00000000" w:rsidDel="00000000" w:rsidP="00000000" w:rsidRDefault="00000000" w:rsidRPr="00000000" w14:paraId="00000006">
            <w:pPr>
              <w:pBdr>
                <w:top w:color="000000" w:space="0" w:sz="0" w:val="none"/>
                <w:left w:color="000000" w:space="0" w:sz="0" w:val="none"/>
                <w:bottom w:color="000000" w:space="0" w:sz="0" w:val="none"/>
                <w:right w:color="000000" w:space="0" w:sz="0" w:val="none"/>
              </w:pBdr>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KLASS:</w:t>
            </w:r>
            <w:r w:rsidDel="00000000" w:rsidR="00000000" w:rsidRPr="00000000">
              <w:rPr>
                <w:rFonts w:ascii="Poppins" w:cs="Poppins" w:eastAsia="Poppins" w:hAnsi="Poppins"/>
                <w:color w:val="21233a"/>
                <w:sz w:val="20"/>
                <w:szCs w:val="20"/>
                <w:rtl w:val="0"/>
              </w:rPr>
              <w:t xml:space="preserve"> 10.–11. klass</w:t>
            </w:r>
          </w:p>
          <w:p w:rsidR="00000000" w:rsidDel="00000000" w:rsidP="00000000" w:rsidRDefault="00000000" w:rsidRPr="00000000" w14:paraId="00000007">
            <w:pPr>
              <w:pBdr>
                <w:top w:color="000000" w:space="0" w:sz="0" w:val="none"/>
                <w:left w:color="000000" w:space="0" w:sz="0" w:val="none"/>
                <w:bottom w:color="000000" w:space="0" w:sz="0" w:val="none"/>
                <w:right w:color="000000" w:space="0" w:sz="0" w:val="none"/>
              </w:pBdr>
              <w:rPr>
                <w:rFonts w:ascii="Poppins" w:cs="Poppins" w:eastAsia="Poppins" w:hAnsi="Poppins"/>
                <w:color w:val="21233a"/>
                <w:sz w:val="20"/>
                <w:szCs w:val="20"/>
              </w:rPr>
            </w:pPr>
            <w:r w:rsidDel="00000000" w:rsidR="00000000" w:rsidRPr="00000000">
              <w:rPr>
                <w:rFonts w:ascii="Poppins" w:cs="Poppins" w:eastAsia="Poppins" w:hAnsi="Poppins"/>
                <w:b w:val="1"/>
                <w:bCs w:val="1"/>
                <w:color w:val="21233a"/>
                <w:sz w:val="20"/>
                <w:szCs w:val="20"/>
                <w:rtl w:val="0"/>
              </w:rPr>
              <w:t xml:space="preserve">KÜLALISÕPETAJA: </w:t>
            </w:r>
            <w:r w:rsidDel="00000000" w:rsidR="00000000" w:rsidRPr="00000000">
              <w:rPr>
                <w:rFonts w:ascii="Poppins" w:cs="Poppins" w:eastAsia="Poppins" w:hAnsi="Poppins"/>
                <w:color w:val="21233a"/>
                <w:sz w:val="20"/>
                <w:szCs w:val="20"/>
                <w:rtl w:val="0"/>
              </w:rPr>
              <w:t xml:space="preserve">Siim Ruul, Pärnu Koidula Gümnaasiumi ajaloo ja ühiskonnaõpetuse õpetaja</w:t>
            </w:r>
          </w:p>
          <w:p w:rsidR="00000000" w:rsidDel="00000000" w:rsidP="00000000" w:rsidRDefault="00000000" w:rsidRPr="00000000" w14:paraId="00000008">
            <w:pPr>
              <w:pBdr>
                <w:top w:color="000000" w:space="0" w:sz="0" w:val="none"/>
                <w:left w:color="000000" w:space="0" w:sz="0" w:val="none"/>
                <w:bottom w:color="000000" w:space="0" w:sz="0" w:val="none"/>
                <w:right w:color="000000" w:space="0" w:sz="0" w:val="none"/>
              </w:pBdr>
              <w:rPr>
                <w:rFonts w:ascii="Poppins" w:cs="Poppins" w:eastAsia="Poppins" w:hAnsi="Poppins"/>
                <w:b w:val="1"/>
                <w:bCs w:val="1"/>
                <w:color w:val="21233a"/>
                <w:sz w:val="20"/>
                <w:szCs w:val="20"/>
              </w:rPr>
            </w:pPr>
            <w:r w:rsidDel="00000000" w:rsidR="00000000" w:rsidRPr="00000000">
              <w:rPr>
                <w:rFonts w:ascii="Poppins" w:cs="Poppins" w:eastAsia="Poppins" w:hAnsi="Poppins"/>
                <w:b w:val="1"/>
                <w:bCs w:val="1"/>
                <w:color w:val="21233a"/>
                <w:sz w:val="20"/>
                <w:szCs w:val="20"/>
                <w:rtl w:val="0"/>
              </w:rPr>
              <w:t xml:space="preserve">SEOS RÕK-iga:</w:t>
            </w:r>
            <w:r w:rsidDel="00000000" w:rsidR="00000000" w:rsidRPr="00000000">
              <w:rPr>
                <w:rFonts w:ascii="Poppins" w:cs="Poppins" w:eastAsia="Poppins" w:hAnsi="Poppins"/>
                <w:color w:val="21233a"/>
                <w:sz w:val="20"/>
                <w:szCs w:val="20"/>
                <w:rtl w:val="0"/>
              </w:rPr>
              <w:t xml:space="preserve"> karjääripädevus, digipädevus</w:t>
            </w:r>
            <w:r w:rsidDel="00000000" w:rsidR="00000000" w:rsidRPr="00000000">
              <w:rPr>
                <w:rtl w:val="0"/>
              </w:rPr>
            </w:r>
          </w:p>
        </w:tc>
      </w:tr>
      <w:tr>
        <w:trPr>
          <w:cantSplit w:val="0"/>
          <w:trHeight w:val="603" w:hRule="atLeast"/>
          <w:tblHeader w:val="1"/>
        </w:trPr>
        <w:tc>
          <w:tcPr>
            <w:gridSpan w:val="3"/>
            <w:shd w:fill="005a36" w:val="clear"/>
            <w:tcMar>
              <w:top w:w="99.77952755905513" w:type="dxa"/>
              <w:left w:w="99.77952755905513" w:type="dxa"/>
              <w:bottom w:w="99.77952755905513" w:type="dxa"/>
              <w:right w:w="99.77952755905513" w:type="dxa"/>
            </w:tcMar>
            <w:vAlign w:val="center"/>
          </w:tcPr>
          <w:p w:rsidR="00000000" w:rsidDel="00000000" w:rsidP="00000000" w:rsidRDefault="00000000" w:rsidRPr="00000000" w14:paraId="0000000B">
            <w:pPr>
              <w:jc w:val="center"/>
              <w:rPr>
                <w:rFonts w:ascii="Poppins Medium" w:cs="Poppins Medium" w:eastAsia="Poppins Medium" w:hAnsi="Poppins Medium"/>
                <w:color w:val="ffffff"/>
                <w:sz w:val="18"/>
                <w:szCs w:val="18"/>
              </w:rPr>
            </w:pPr>
            <w:r w:rsidDel="00000000" w:rsidR="00000000" w:rsidRPr="00000000">
              <w:rPr>
                <w:rFonts w:ascii="Poppins Medium" w:cs="Poppins Medium" w:eastAsia="Poppins Medium" w:hAnsi="Poppins Medium"/>
                <w:color w:val="ffffff"/>
                <w:rtl w:val="0"/>
              </w:rPr>
              <w:t xml:space="preserve">Tunni osad</w:t>
            </w:r>
            <w:r w:rsidDel="00000000" w:rsidR="00000000" w:rsidRPr="00000000">
              <w:rPr>
                <w:rtl w:val="0"/>
              </w:rPr>
            </w:r>
          </w:p>
        </w:tc>
      </w:tr>
      <w:tr>
        <w:trPr>
          <w:cantSplit w:val="0"/>
          <w:trHeight w:val="693.3333333333335" w:hRule="atLeast"/>
          <w:tblHeader w:val="1"/>
        </w:trPr>
        <w:tc>
          <w:tcPr>
            <w:shd w:fill="e2d1bf" w:val="clear"/>
            <w:vAlign w:val="center"/>
          </w:tcPr>
          <w:p w:rsidR="00000000" w:rsidDel="00000000" w:rsidP="00000000" w:rsidRDefault="00000000" w:rsidRPr="00000000" w14:paraId="0000000E">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Häälestus</w:t>
            </w:r>
            <w:r w:rsidDel="00000000" w:rsidR="00000000" w:rsidRPr="00000000">
              <w:rPr>
                <w:rtl w:val="0"/>
              </w:rPr>
            </w:r>
          </w:p>
        </w:tc>
        <w:tc>
          <w:tcPr>
            <w:shd w:fill="e2d1bf" w:val="clear"/>
            <w:vAlign w:val="center"/>
          </w:tcPr>
          <w:p w:rsidR="00000000" w:rsidDel="00000000" w:rsidP="00000000" w:rsidRDefault="00000000" w:rsidRPr="00000000" w14:paraId="0000000F">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Video vaatamine</w:t>
            </w:r>
            <w:r w:rsidDel="00000000" w:rsidR="00000000" w:rsidRPr="00000000">
              <w:rPr>
                <w:rtl w:val="0"/>
              </w:rPr>
            </w:r>
          </w:p>
        </w:tc>
        <w:tc>
          <w:tcPr>
            <w:shd w:fill="e2d1bf" w:val="clear"/>
            <w:vAlign w:val="center"/>
          </w:tcPr>
          <w:p w:rsidR="00000000" w:rsidDel="00000000" w:rsidP="00000000" w:rsidRDefault="00000000" w:rsidRPr="00000000" w14:paraId="00000010">
            <w:pPr>
              <w:widowControl w:val="0"/>
              <w:spacing w:line="240" w:lineRule="auto"/>
              <w:jc w:val="center"/>
              <w:rPr>
                <w:rFonts w:ascii="Poppins Medium" w:cs="Poppins Medium" w:eastAsia="Poppins Medium" w:hAnsi="Poppins Medium"/>
                <w:i w:val="1"/>
                <w:iCs w:val="1"/>
                <w:color w:val="21233a"/>
                <w:sz w:val="20"/>
                <w:szCs w:val="20"/>
              </w:rPr>
            </w:pPr>
            <w:r w:rsidDel="00000000" w:rsidR="00000000" w:rsidRPr="00000000">
              <w:rPr>
                <w:rFonts w:ascii="Poppins" w:cs="Poppins" w:eastAsia="Poppins" w:hAnsi="Poppins"/>
                <w:b w:val="1"/>
                <w:bCs w:val="1"/>
                <w:color w:val="21233a"/>
                <w:sz w:val="20"/>
                <w:szCs w:val="20"/>
                <w:rtl w:val="0"/>
              </w:rPr>
              <w:t xml:space="preserve">Õpilaste iseseisev töö </w:t>
            </w:r>
            <w:r w:rsidDel="00000000" w:rsidR="00000000" w:rsidRPr="00000000">
              <w:rPr>
                <w:rtl w:val="0"/>
              </w:rPr>
            </w:r>
          </w:p>
        </w:tc>
      </w:tr>
      <w:tr>
        <w:trPr>
          <w:cantSplit w:val="0"/>
          <w:trHeight w:val="420" w:hRule="atLeast"/>
          <w:tblHeader w:val="1"/>
        </w:trPr>
        <w:tc>
          <w:tcPr/>
          <w:p w:rsidR="00000000" w:rsidDel="00000000" w:rsidP="00000000" w:rsidRDefault="00000000" w:rsidRPr="00000000" w14:paraId="00000011">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18"/>
                <w:szCs w:val="18"/>
              </w:rPr>
            </w:pPr>
            <w:r w:rsidDel="00000000" w:rsidR="00000000" w:rsidRPr="00000000">
              <w:rPr>
                <w:rFonts w:ascii="Poppins" w:cs="Poppins" w:eastAsia="Poppins" w:hAnsi="Poppins"/>
                <w:b w:val="1"/>
                <w:bCs w:val="1"/>
                <w:color w:val="cd89ff"/>
                <w:sz w:val="18"/>
                <w:szCs w:val="18"/>
                <w:rtl w:val="0"/>
              </w:rPr>
              <w:t xml:space="preserve">Tunni teema taust:</w:t>
            </w:r>
          </w:p>
        </w:tc>
        <w:tc>
          <w:tcPr>
            <w:gridSpan w:val="2"/>
            <w:shd w:fill="ffffff" w:val="clear"/>
          </w:tcPr>
          <w:p w:rsidR="00000000" w:rsidDel="00000000" w:rsidP="00000000" w:rsidRDefault="00000000" w:rsidRPr="00000000" w14:paraId="00000012">
            <w:pPr>
              <w:pBdr>
                <w:top w:color="000000" w:space="0" w:sz="0" w:val="none"/>
                <w:bottom w:color="000000" w:space="0" w:sz="0" w:val="none"/>
                <w:right w:color="000000" w:space="0" w:sz="0" w:val="none"/>
                <w:between w:color="000000" w:space="0" w:sz="0" w:val="none"/>
              </w:pBdr>
              <w:spacing w:line="216" w:lineRule="auto"/>
              <w:jc w:val="both"/>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Tehisarust räägitakse palju ja vahel võib tunduda, et varsti teeb see kogu töö meie eest ära. Aga kas see on päriselt nii? Selles e-tundide sarjas räägivad eri valdkondade inimesed, kuidas nad tehisaru juba täna nutikalt kasutavad ning miks on nende enda roll endiselt oluline.</w:t>
            </w:r>
          </w:p>
        </w:tc>
      </w:tr>
      <w:tr>
        <w:trPr>
          <w:cantSplit w:val="0"/>
          <w:trHeight w:val="400" w:hRule="atLeast"/>
          <w:tblHeader w:val="1"/>
        </w:trPr>
        <w:tc>
          <w:tcPr/>
          <w:p w:rsidR="00000000" w:rsidDel="00000000" w:rsidP="00000000" w:rsidRDefault="00000000" w:rsidRPr="00000000" w14:paraId="00000014">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20"/>
                <w:szCs w:val="20"/>
              </w:rPr>
            </w:pPr>
            <w:r w:rsidDel="00000000" w:rsidR="00000000" w:rsidRPr="00000000">
              <w:rPr>
                <w:rFonts w:ascii="Poppins" w:cs="Poppins" w:eastAsia="Poppins" w:hAnsi="Poppins"/>
                <w:b w:val="1"/>
                <w:bCs w:val="1"/>
                <w:color w:val="cd89ff"/>
                <w:sz w:val="18"/>
                <w:szCs w:val="18"/>
                <w:rtl w:val="0"/>
              </w:rPr>
              <w:t xml:space="preserve">Häälestus:</w:t>
            </w:r>
            <w:r w:rsidDel="00000000" w:rsidR="00000000" w:rsidRPr="00000000">
              <w:rPr>
                <w:rtl w:val="0"/>
              </w:rPr>
            </w:r>
          </w:p>
        </w:tc>
        <w:tc>
          <w:tcPr>
            <w:gridSpan w:val="2"/>
            <w:shd w:fill="ffffff" w:val="clear"/>
          </w:tcPr>
          <w:p w:rsidR="00000000" w:rsidDel="00000000" w:rsidP="00000000" w:rsidRDefault="00000000" w:rsidRPr="00000000" w14:paraId="00000015">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right="0"/>
              <w:jc w:val="left"/>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Paarides tuleb kirja panna, millised on õpilaste meelest ülesanded, mis kuuluvad õpetajatöö juurde. Seejärel tuleb paarilistel valida valikute hulgast kaks, mis nende hinnangul on kõige ajamahukamad. Pärast seda saate jagada õpilastega oma kogemust ja kuulata, mida nemad õpetajatööst arvavad ja milliseid ülesandeid kõige aeganõudvamateks peavad. </w:t>
            </w:r>
            <w:r w:rsidDel="00000000" w:rsidR="00000000" w:rsidRPr="00000000">
              <w:rPr>
                <w:rtl w:val="0"/>
              </w:rPr>
            </w:r>
          </w:p>
        </w:tc>
      </w:tr>
      <w:tr>
        <w:trPr>
          <w:cantSplit w:val="0"/>
          <w:trHeight w:val="1283.333333333333" w:hRule="atLeast"/>
          <w:tblHeader w:val="1"/>
        </w:trPr>
        <w:tc>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cd89ff"/>
                <w:sz w:val="20"/>
                <w:szCs w:val="20"/>
              </w:rPr>
            </w:pPr>
            <w:r w:rsidDel="00000000" w:rsidR="00000000" w:rsidRPr="00000000">
              <w:rPr>
                <w:rFonts w:ascii="Poppins" w:cs="Poppins" w:eastAsia="Poppins" w:hAnsi="Poppins"/>
                <w:b w:val="1"/>
                <w:bCs w:val="1"/>
                <w:color w:val="cd89ff"/>
                <w:sz w:val="18"/>
                <w:szCs w:val="18"/>
                <w:rtl w:val="0"/>
              </w:rPr>
              <w:t xml:space="preserve">Õpilaste iseseisev töö:</w:t>
            </w:r>
            <w:r w:rsidDel="00000000" w:rsidR="00000000" w:rsidRPr="00000000">
              <w:rPr>
                <w:rtl w:val="0"/>
              </w:rPr>
            </w:r>
          </w:p>
          <w:p w:rsidR="00000000" w:rsidDel="00000000" w:rsidP="00000000" w:rsidRDefault="00000000" w:rsidRPr="00000000" w14:paraId="00000018">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Poppins" w:cs="Poppins" w:eastAsia="Poppins" w:hAnsi="Poppins"/>
                <w:b w:val="1"/>
                <w:bCs w:val="1"/>
                <w:color w:val="21233a"/>
                <w:sz w:val="20"/>
                <w:szCs w:val="20"/>
              </w:rPr>
            </w:pPr>
            <w:r w:rsidDel="00000000" w:rsidR="00000000" w:rsidRPr="00000000">
              <w:rPr>
                <w:rtl w:val="0"/>
              </w:rPr>
            </w:r>
          </w:p>
        </w:tc>
        <w:tc>
          <w:tcPr>
            <w:gridSpan w:val="2"/>
            <w:shd w:fill="ffffff" w:val="clear"/>
          </w:tcPr>
          <w:p w:rsidR="00000000" w:rsidDel="00000000" w:rsidP="00000000" w:rsidRDefault="00000000" w:rsidRPr="00000000" w14:paraId="00000019">
            <w:pPr>
              <w:widowControl w:val="1"/>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Moodustada 3–4-liikmelised rühmad. Rühmadest tuleb valmistada 5. klassile ette üks ajalootund, teemad on ette antud: Eesti muinasaeg, vanaaeg, Eesti keskaeg, uusaeg, Eesti iseseseisvumine, Eesti taasiseseisvumine. Soovi korral võite teemat vahetada, näiteks paluda õpilastel teie enda aine uue peatüki kohta teha esitlus vms. </w:t>
            </w:r>
          </w:p>
          <w:p w:rsidR="00000000" w:rsidDel="00000000" w:rsidP="00000000" w:rsidRDefault="00000000" w:rsidRPr="00000000" w14:paraId="0000001A">
            <w:pPr>
              <w:widowControl w:val="1"/>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Õpilastel tuleb hinnata, kui head on nende endi teadmised antud teemas ja proovida endale mõne tehisaru rakendusega teemat seletada või meelde tuletada. </w:t>
            </w:r>
          </w:p>
          <w:p w:rsidR="00000000" w:rsidDel="00000000" w:rsidP="00000000" w:rsidRDefault="00000000" w:rsidRPr="00000000" w14:paraId="0000001B">
            <w:pPr>
              <w:widowControl w:val="1"/>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Kui teema selgitamine ja meeldetuletamine on tehtud, siis tuleks õpilastel valitud teema juurde teha tehisaru abiga slaidid. Keskkonna võib iga rühm ise valida (ChatGPT, NotebookLM, Figma, Claude vms). Pärast esitluse tegemist peaks iga rühm kriitiliselt hindama, kas esitluses esineb vigu, kas see on 5. klassile arusaadav. </w:t>
            </w:r>
          </w:p>
          <w:p w:rsidR="00000000" w:rsidDel="00000000" w:rsidP="00000000" w:rsidRDefault="00000000" w:rsidRPr="00000000" w14:paraId="0000001C">
            <w:pPr>
              <w:widowControl w:val="1"/>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Pärast slaidiesitlust tuleb igal rühmal pakkuda välja ka järeltegevused ehk tööleht, mis aitaks valitud teemat korrata ja kinnistada. Siin võib samuti paluda abi tehisarult, kuid õpilased võivad ka käsitis oma töölehe kujundada. </w:t>
            </w:r>
          </w:p>
          <w:p w:rsidR="00000000" w:rsidDel="00000000" w:rsidP="00000000" w:rsidRDefault="00000000" w:rsidRPr="00000000" w14:paraId="0000001D">
            <w:pPr>
              <w:widowControl w:val="1"/>
              <w:spacing w:line="240" w:lineRule="auto"/>
              <w:rPr>
                <w:rFonts w:ascii="Poppins" w:cs="Poppins" w:eastAsia="Poppins" w:hAnsi="Poppins"/>
                <w:color w:val="21233a"/>
                <w:sz w:val="18"/>
                <w:szCs w:val="18"/>
              </w:rPr>
            </w:pPr>
            <w:r w:rsidDel="00000000" w:rsidR="00000000" w:rsidRPr="00000000">
              <w:rPr>
                <w:rFonts w:ascii="Poppins" w:cs="Poppins" w:eastAsia="Poppins" w:hAnsi="Poppins"/>
                <w:color w:val="21233a"/>
                <w:sz w:val="18"/>
                <w:szCs w:val="18"/>
                <w:rtl w:val="0"/>
              </w:rPr>
              <w:t xml:space="preserve">Kui ka see osa on lõpetatud, laske rühmadel tutvustada oma esitlusi ja töölehti teistele ning arutage ühiselt, kuidas õpilased hindavad oma kogemust tunni ettevalmistamisel: mis oli lihtne, mis keeruline, mis meeldis ja mis ei meeldinud.</w:t>
            </w:r>
          </w:p>
        </w:tc>
      </w:tr>
    </w:tbl>
    <w:p w:rsidR="00000000" w:rsidDel="00000000" w:rsidP="00000000" w:rsidRDefault="00000000" w:rsidRPr="00000000" w14:paraId="0000001F">
      <w:pPr>
        <w:spacing w:line="240" w:lineRule="auto"/>
        <w:ind w:left="-810" w:firstLine="0"/>
        <w:rPr>
          <w:sz w:val="18"/>
          <w:szCs w:val="18"/>
        </w:rPr>
      </w:pPr>
      <w:r w:rsidDel="00000000" w:rsidR="00000000" w:rsidRPr="00000000">
        <w:rPr>
          <w:rFonts w:ascii="Poppins" w:cs="Poppins" w:eastAsia="Poppins" w:hAnsi="Poppins"/>
          <w:color w:val="21233a"/>
          <w:sz w:val="18"/>
          <w:szCs w:val="18"/>
          <w:rtl w:val="0"/>
        </w:rPr>
        <w:t xml:space="preserve">* Tunnikava on loodud selleks, et pakkuda õpetajatele välja erinevaid variante õpilaste aktiivseks kaasamiseks tunni teemasse. Tunnikava ei pea tingimata kasutama.</w:t>
      </w:r>
      <w:r w:rsidDel="00000000" w:rsidR="00000000" w:rsidRPr="00000000">
        <w:rPr>
          <w:rtl w:val="0"/>
        </w:rPr>
      </w:r>
    </w:p>
    <w:sectPr>
      <w:headerReference r:id="rId7" w:type="default"/>
      <w:footerReference r:id="rId8" w:type="default"/>
      <w:pgSz w:h="15840" w:w="12240" w:orient="portrait"/>
      <w:pgMar w:bottom="1440.0000000000002" w:top="1440" w:left="1440.0000000000002" w:right="1440.0000000000002"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Poppi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0">
    <w:pPr>
      <w:ind w:right="360"/>
      <w:rPr>
        <w:rFonts w:ascii="Poppins Medium" w:cs="Poppins Medium" w:eastAsia="Poppins Medium" w:hAnsi="Poppins Medium"/>
        <w:color w:val="21233a"/>
        <w:sz w:val="24"/>
        <w:szCs w:val="24"/>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3942213</wp:posOffset>
          </wp:positionH>
          <wp:positionV relativeFrom="paragraph">
            <wp:posOffset>-133345</wp:posOffset>
          </wp:positionV>
          <wp:extent cx="1214438" cy="404813"/>
          <wp:effectExtent b="0" l="0" r="0" t="0"/>
          <wp:wrapNone/>
          <wp:docPr id="5"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214438" cy="404813"/>
                  </a:xfrm>
                  <a:prstGeom prst="rect"/>
                  <a:ln/>
                </pic:spPr>
              </pic:pic>
            </a:graphicData>
          </a:graphic>
        </wp:anchor>
      </w:drawing>
    </w:r>
  </w:p>
  <w:p w:rsidR="00000000" w:rsidDel="00000000" w:rsidP="00000000" w:rsidRDefault="00000000" w:rsidRPr="00000000" w14:paraId="00000021">
    <w:pPr>
      <w:rPr/>
    </w:pPr>
    <w:r w:rsidDel="00000000" w:rsidR="00000000" w:rsidRPr="00000000">
      <w:rPr/>
      <w:pict>
        <v:shape id="WordPictureWatermark1" style="position:absolute;width:113.33952755905511pt;height:60.75pt;rotation:0;z-index:-503316481;mso-position-horizontal-relative:margin;mso-position-horizontal:absolute;margin-left:406.4104724409449pt;mso-position-vertical-relative:margin;mso-position-vertical:absolute;margin-top:-60.75pt;" alt="" type="#_x0000_t75">
          <v:imagedata cropbottom="0f" cropleft="0f" cropright="0f" croptop="0f" r:id="rId2" o:title="image2.png"/>
        </v:shape>
      </w:pic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Normal" w:default="1">
    <w:name w:val="normal"/>
  </w:style>
  <w:style w:type="table" w:styleId="TableNormal" w:default="1">
    <w:name w:val="Table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paragraph" w:styleId="Normal" w:default="1">
    <w:name w:val="normal"/>
  </w:style>
  <w:style w:type="table" w:styleId="TableNormal" w:default="1">
    <w:name w:val="Table Normal"/>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1">
    <w:basedOn w:val="TableNormal"/>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1">
    <w:basedOn w:val="TableNormal"/>
    <w:tblPr>
      <w:tblStyleRowBandSize w:val="1"/>
      <w:tblStyleColBandSize w:val="1"/>
      <w:tblCellMar>
        <w:top w:w="0.0" w:type="dxa"/>
        <w:left w:w="115.0" w:type="dxa"/>
        <w:bottom w:w="0.0" w:type="dxa"/>
        <w:right w:w="115.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Poppins-regular.ttf"/><Relationship Id="rId2" Type="http://schemas.openxmlformats.org/officeDocument/2006/relationships/font" Target="fonts/Poppins-bold.ttf"/><Relationship Id="rId3" Type="http://schemas.openxmlformats.org/officeDocument/2006/relationships/font" Target="fonts/Poppins-italic.ttf"/><Relationship Id="rId4" Type="http://schemas.openxmlformats.org/officeDocument/2006/relationships/font" Target="fonts/Poppins-boldItalic.ttf"/><Relationship Id="rId5" Type="http://schemas.openxmlformats.org/officeDocument/2006/relationships/font" Target="fonts/PoppinsMedium-regular.ttf"/><Relationship Id="rId6" Type="http://schemas.openxmlformats.org/officeDocument/2006/relationships/font" Target="fonts/PoppinsMedium-bold.ttf"/><Relationship Id="rId7" Type="http://schemas.openxmlformats.org/officeDocument/2006/relationships/font" Target="fonts/PoppinsMedium-italic.ttf"/><Relationship Id="rId8" Type="http://schemas.openxmlformats.org/officeDocument/2006/relationships/font" Target="fonts/PoppinsMedium-boldItalic.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hXcbnjhf+FbOzivPPqcFjwJ5oA==">CgMxLjA4AHIhMUNCMVc0c1dHdWNWTm5oU25DbTMtcXFHelBmaERnbjRn</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