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“Kuidas juristid panevad tehisaru enda kasuks tööle?”</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tehisaru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 </w:t>
            </w:r>
            <w:r w:rsidDel="00000000" w:rsidR="00000000" w:rsidRPr="00000000">
              <w:rPr>
                <w:rFonts w:ascii="Poppins" w:cs="Poppins" w:eastAsia="Poppins" w:hAnsi="Poppins"/>
                <w:color w:val="21233a"/>
                <w:sz w:val="20"/>
                <w:szCs w:val="20"/>
                <w:rtl w:val="0"/>
              </w:rPr>
              <w:t xml:space="preserve">Hegle Pärna, Ellex Raidla andmekaitse advokaat, Merlin Liis-Toomela, Ellex Raidla assotsieerunud partner ja vandeadvokaat</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Õpilastele on ette antud skaala, millele tuleb märkida, kui palju nemad tehisaru vastuseid usaldavad ning põhjendada oma hinnangut. Seejärel arutage klassiruumis, kas mõnes valdkonnas usaldatakse tehisaru vastuseid rohkem kui mõnes teises (nt suvaliste faktide vastused on usaldusväärsemad, kui tervise kohta saadud vastused vms). </w:t>
            </w:r>
          </w:p>
        </w:tc>
      </w:tr>
      <w:tr>
        <w:trPr>
          <w:cantSplit w:val="0"/>
          <w:trHeight w:val="1283.333333333333" w:hRule="atLeast"/>
          <w:tblHeader w:val="1"/>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9">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Rühmatöö. Moodustada 3–4-liikmelised rühmad. Iga rühm peab välja mõtlema kaks küsimust, mille kohta nad tahaksid Eestis kehtivast seadusest vastust leida. Küsimus peaks olema võimalikult konkreetne, nt </w:t>
            </w:r>
            <w:r w:rsidDel="00000000" w:rsidR="00000000" w:rsidRPr="00000000">
              <w:rPr>
                <w:rFonts w:ascii="Poppins" w:cs="Poppins" w:eastAsia="Poppins" w:hAnsi="Poppins"/>
                <w:i w:val="1"/>
                <w:iCs w:val="1"/>
                <w:color w:val="21233a"/>
                <w:sz w:val="18"/>
                <w:szCs w:val="18"/>
                <w:rtl w:val="0"/>
              </w:rPr>
              <w:t xml:space="preserve">Mis vanusest võib Eestis sotsiaalmeediakontot luua? </w:t>
            </w:r>
            <w:r w:rsidDel="00000000" w:rsidR="00000000" w:rsidRPr="00000000">
              <w:rPr>
                <w:rFonts w:ascii="Poppins" w:cs="Poppins" w:eastAsia="Poppins" w:hAnsi="Poppins"/>
                <w:color w:val="21233a"/>
                <w:sz w:val="18"/>
                <w:szCs w:val="18"/>
                <w:rtl w:val="0"/>
              </w:rPr>
              <w:t xml:space="preserve">Seejärel esitada need kaks küsimust MS Copiloti rakendusse ja vaadata, kuidas see vastab, ning märkida vastused tabelisse: </w:t>
            </w:r>
          </w:p>
          <w:p w:rsidR="00000000" w:rsidDel="00000000" w:rsidP="00000000" w:rsidRDefault="00000000" w:rsidRPr="00000000" w14:paraId="0000001A">
            <w:pPr>
              <w:widowControl w:val="0"/>
              <w:spacing w:line="240" w:lineRule="auto"/>
              <w:rPr>
                <w:rFonts w:ascii="Poppins" w:cs="Poppins" w:eastAsia="Poppins" w:hAnsi="Poppins"/>
                <w:color w:val="21233a"/>
                <w:sz w:val="18"/>
                <w:szCs w:val="18"/>
              </w:rPr>
            </w:pPr>
            <w:r w:rsidDel="00000000" w:rsidR="00000000" w:rsidRPr="00000000">
              <w:rPr>
                <w:rtl w:val="0"/>
              </w:rPr>
            </w:r>
          </w:p>
          <w:sdt>
            <w:sdtPr>
              <w:lock w:val="contentLocked"/>
              <w:id w:val="-1620339222"/>
              <w:tag w:val="goog_rdk_0"/>
            </w:sdtPr>
            <w:sdtContent>
              <w:tbl>
                <w:tblPr>
                  <w:tblStyle w:val="Table2"/>
                  <w:tblW w:w="74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2970"/>
                  <w:gridCol w:w="3090"/>
                  <w:tblGridChange w:id="0">
                    <w:tblGrid>
                      <w:gridCol w:w="1395"/>
                      <w:gridCol w:w="2970"/>
                      <w:gridCol w:w="3090"/>
                    </w:tblGrid>
                  </w:tblGridChange>
                </w:tblGrid>
                <w:tr>
                  <w:trPr>
                    <w:cantSplit w:val="0"/>
                    <w:tblHeader w:val="0"/>
                  </w:trPr>
                  <w:tc>
                    <w:tcPr>
                      <w:tcBorders>
                        <w:bottom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Poppins" w:cs="Poppins" w:eastAsia="Poppins" w:hAnsi="Poppins"/>
                          <w:sz w:val="16"/>
                          <w:szCs w:val="16"/>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Küsimus 1</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Küsimus 2</w:t>
                      </w:r>
                    </w:p>
                  </w:tc>
                </w:tr>
                <w:tr>
                  <w:trPr>
                    <w:cantSplit w:val="0"/>
                    <w:tblHeader w:val="0"/>
                  </w:trPr>
                  <w:tc>
                    <w:tcPr>
                      <w:tcBorders>
                        <w:top w:color="36364a" w:space="0" w:sz="8" w:val="single"/>
                        <w:left w:color="36364a" w:space="0" w:sz="8" w:val="single"/>
                        <w:bottom w:color="36364a" w:space="0" w:sz="8" w:val="single"/>
                        <w:righ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Mida Copilot vastas (lühike kokkuvõte)?</w:t>
                      </w:r>
                    </w:p>
                  </w:tc>
                  <w:tc>
                    <w:tcPr>
                      <w:tcBorders>
                        <w:lef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Poppins" w:cs="Poppins" w:eastAsia="Poppins" w:hAnsi="Poppins"/>
                          <w:b w:val="1"/>
                          <w:bCs w:val="1"/>
                          <w:color w:val="005a36"/>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Poppins" w:cs="Poppins" w:eastAsia="Poppins" w:hAnsi="Poppins"/>
                          <w:b w:val="1"/>
                          <w:bCs w:val="1"/>
                          <w:color w:val="005a36"/>
                          <w:sz w:val="16"/>
                          <w:szCs w:val="16"/>
                        </w:rPr>
                      </w:pPr>
                      <w:r w:rsidDel="00000000" w:rsidR="00000000" w:rsidRPr="00000000">
                        <w:rPr>
                          <w:rtl w:val="0"/>
                        </w:rPr>
                      </w:r>
                    </w:p>
                  </w:tc>
                </w:tr>
                <w:tr>
                  <w:trPr>
                    <w:cantSplit w:val="0"/>
                    <w:tblHeader w:val="0"/>
                  </w:trPr>
                  <w:tc>
                    <w:tcPr>
                      <w:tcBorders>
                        <w:top w:color="36364a" w:space="0" w:sz="8" w:val="single"/>
                        <w:left w:color="36364a" w:space="0" w:sz="8" w:val="single"/>
                        <w:bottom w:color="36364a" w:space="0" w:sz="8" w:val="single"/>
                        <w:righ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Kas Copilot viitas mõnele konkreetsele seadusele või paragrahvile?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color w:val="21233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color w:val="21233a"/>
                          <w:sz w:val="16"/>
                          <w:szCs w:val="16"/>
                        </w:rPr>
                      </w:pPr>
                      <w:r w:rsidDel="00000000" w:rsidR="00000000" w:rsidRPr="00000000">
                        <w:rPr>
                          <w:rtl w:val="0"/>
                        </w:rPr>
                      </w:r>
                    </w:p>
                  </w:tc>
                </w:tr>
                <w:tr>
                  <w:trPr>
                    <w:cantSplit w:val="0"/>
                    <w:tblHeader w:val="0"/>
                  </w:trPr>
                  <w:tc>
                    <w:tcPr>
                      <w:tcBorders>
                        <w:top w:color="36364a" w:space="0" w:sz="8" w:val="single"/>
                        <w:left w:color="36364a" w:space="0" w:sz="8" w:val="single"/>
                        <w:bottom w:color="36364a" w:space="0" w:sz="8" w:val="single"/>
                        <w:righ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Kas Copilot selgitas, kust info pärineb?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color w:val="21233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color w:val="21233a"/>
                          <w:sz w:val="16"/>
                          <w:szCs w:val="16"/>
                        </w:rPr>
                      </w:pPr>
                      <w:r w:rsidDel="00000000" w:rsidR="00000000" w:rsidRPr="00000000">
                        <w:rPr>
                          <w:rtl w:val="0"/>
                        </w:rPr>
                      </w:r>
                    </w:p>
                  </w:tc>
                </w:tr>
              </w:tbl>
            </w:sdtContent>
          </w:sdt>
          <w:p w:rsidR="00000000" w:rsidDel="00000000" w:rsidP="00000000" w:rsidRDefault="00000000" w:rsidRPr="00000000" w14:paraId="00000027">
            <w:pPr>
              <w:widowControl w:val="0"/>
              <w:spacing w:line="240" w:lineRule="auto"/>
              <w:rPr>
                <w:rFonts w:ascii="Poppins" w:cs="Poppins" w:eastAsia="Poppins" w:hAnsi="Poppins"/>
                <w:color w:val="21233a"/>
                <w:sz w:val="18"/>
                <w:szCs w:val="18"/>
              </w:rPr>
            </w:pPr>
            <w:r w:rsidDel="00000000" w:rsidR="00000000" w:rsidRPr="00000000">
              <w:rPr>
                <w:rtl w:val="0"/>
              </w:rPr>
            </w:r>
          </w:p>
          <w:p w:rsidR="00000000" w:rsidDel="00000000" w:rsidP="00000000" w:rsidRDefault="00000000" w:rsidRPr="00000000" w14:paraId="00000028">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Rühmadel tuleb hinnata vastuste usaldusväärsust ja pakkuda, kuidas saaks kontrollida ega tehisaru ei hallutsineerinud. </w:t>
            </w:r>
          </w:p>
          <w:p w:rsidR="00000000" w:rsidDel="00000000" w:rsidP="00000000" w:rsidRDefault="00000000" w:rsidRPr="00000000" w14:paraId="00000029">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Õpilased töötavad paarides, loevad läbi etteantud olukorra 15-aastase Rauno töötamise kohta ning arutavad selle põhjal järgmisi küsimusi: </w:t>
            </w:r>
          </w:p>
          <w:p w:rsidR="00000000" w:rsidDel="00000000" w:rsidP="00000000" w:rsidRDefault="00000000" w:rsidRPr="00000000" w14:paraId="0000002A">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Kust võiksid leida usaldusväärset infot, mis puudutab alaealiste töötamist ja töötajatele makstavaid tasusid? - usaldusväärne on Riigi Teataja lehelt töölepingu seadus.</w:t>
            </w:r>
          </w:p>
          <w:p w:rsidR="00000000" w:rsidDel="00000000" w:rsidP="00000000" w:rsidRDefault="00000000" w:rsidRPr="00000000" w14:paraId="0000002B">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Milliseid töölepingu seaduse punkte Rauno tööandja rikkus? § 44 (2) - ületunnitöö kokkulepe alaealisega on tühine. § 44 (7) Ületunnitöö hüvitamisel rahas maksab tööandja töötajale 1,5-kordset töötasu. (kuigi sellel isegi pole tähtsust, sest alaealine nagunii ei tohiks ületunnitööd teha). </w:t>
            </w:r>
          </w:p>
          <w:p w:rsidR="00000000" w:rsidDel="00000000" w:rsidP="00000000" w:rsidRDefault="00000000" w:rsidRPr="00000000" w14:paraId="0000002C">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Kuidas peaks Rauno edasi käituma ? - võib esmalt tööandjale viidata seaduse rikkumisele, kui see ei toimi, siis saab pöörduda töövaidluskomisjoni.</w:t>
            </w:r>
          </w:p>
        </w:tc>
      </w:tr>
    </w:tbl>
    <w:p w:rsidR="00000000" w:rsidDel="00000000" w:rsidP="00000000" w:rsidRDefault="00000000" w:rsidRPr="00000000" w14:paraId="0000002E">
      <w:pPr>
        <w:spacing w:line="240" w:lineRule="auto"/>
        <w:ind w:left="-810" w:firstLine="0"/>
        <w:rPr>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7" w:type="default"/>
      <w:footerReference r:id="rId8"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-133345</wp:posOffset>
          </wp:positionV>
          <wp:extent cx="1214438" cy="404813"/>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30">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pkH6zMjaMHLqXtXNRRhoqVAncw==">CgMxLjAaHwoBMBIaChgICVIUChJ0YWJsZS5pdnp0ajFvaHp5Y3M4AHIhMU5OdUNMZVhQbk5RSXZGd1EzWWJOTHFQei1zMUJjSlRY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